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0EB3" w14:textId="360D7CE2" w:rsidR="00F13BB9" w:rsidRPr="00F15C89" w:rsidRDefault="00F13BB9" w:rsidP="00E0085D">
      <w:pPr>
        <w:ind w:left="8496"/>
        <w:jc w:val="both"/>
        <w:rPr>
          <w:rFonts w:ascii="Arial" w:hAnsi="Arial" w:cs="Arial"/>
          <w:b/>
        </w:rPr>
      </w:pPr>
      <w:r w:rsidRPr="00F15C89">
        <w:rPr>
          <w:rFonts w:ascii="Arial" w:hAnsi="Arial" w:cs="Arial"/>
          <w:b/>
        </w:rPr>
        <w:t>I</w:t>
      </w:r>
      <w:r w:rsidR="00362872" w:rsidRPr="00F15C89">
        <w:rPr>
          <w:rFonts w:ascii="Arial" w:hAnsi="Arial" w:cs="Arial"/>
          <w:b/>
        </w:rPr>
        <w:t>V</w:t>
      </w:r>
      <w:r w:rsidRPr="00F15C89">
        <w:rPr>
          <w:rFonts w:ascii="Arial" w:hAnsi="Arial" w:cs="Arial"/>
          <w:b/>
        </w:rPr>
        <w:t>.</w:t>
      </w:r>
    </w:p>
    <w:p w14:paraId="3B29B754" w14:textId="683332D5" w:rsidR="00F13BB9" w:rsidRPr="00F15C89" w:rsidRDefault="004E3F79" w:rsidP="00F35517">
      <w:pPr>
        <w:jc w:val="both"/>
        <w:rPr>
          <w:rFonts w:ascii="Arial" w:hAnsi="Arial" w:cs="Arial"/>
          <w:b/>
        </w:rPr>
      </w:pPr>
      <w:r w:rsidRPr="00F15C89">
        <w:rPr>
          <w:rFonts w:ascii="Arial" w:hAnsi="Arial" w:cs="Arial"/>
          <w:b/>
        </w:rPr>
        <w:t>OD</w:t>
      </w:r>
      <w:r w:rsidR="003B4446" w:rsidRPr="00F15C89">
        <w:rPr>
          <w:rFonts w:ascii="Arial" w:hAnsi="Arial" w:cs="Arial"/>
          <w:b/>
        </w:rPr>
        <w:t>ŬVODNĚNÍ</w:t>
      </w:r>
    </w:p>
    <w:p w14:paraId="01C2C005" w14:textId="77777777" w:rsidR="00F13BB9" w:rsidRPr="00F15C89" w:rsidRDefault="00F13BB9" w:rsidP="00F35517">
      <w:pPr>
        <w:ind w:firstLine="567"/>
        <w:jc w:val="both"/>
        <w:rPr>
          <w:rFonts w:ascii="Arial" w:hAnsi="Arial" w:cs="Arial"/>
        </w:rPr>
      </w:pPr>
      <w:r w:rsidRPr="00F15C89">
        <w:rPr>
          <w:rFonts w:ascii="Arial" w:hAnsi="Arial" w:cs="Arial"/>
        </w:rPr>
        <w:t xml:space="preserve">Minimální standardy OVZ jsou jedním z klíčových implementačních opatření Národní strategie veřejného zadávání v České republice pro období let 2024 až 2028 (dále také jen „Strategie“), jejímž účelem je mj. zvýšit kvalitu plnění poskytovaného subjektům veřejného sektoru, včetně důsledné aplikace principů 3E (účelnost, hospodárnost a efektivnost), podpořit nákupy odpovědné k životnímu prostředí, ochraně klimatu, nákupy sociálně udržitelné, podporující zapojení malých a středních podniků, sociálních podniků a místních komunit. </w:t>
      </w:r>
    </w:p>
    <w:p w14:paraId="274D3AB6" w14:textId="720100BA" w:rsidR="00F13BB9" w:rsidRPr="00F15C89" w:rsidRDefault="00F13BB9" w:rsidP="00F35517">
      <w:pPr>
        <w:ind w:firstLine="567"/>
        <w:jc w:val="both"/>
        <w:rPr>
          <w:rFonts w:ascii="Arial" w:eastAsia="Cambria" w:hAnsi="Arial" w:cs="Arial"/>
        </w:rPr>
      </w:pPr>
      <w:r w:rsidRPr="00F15C89">
        <w:rPr>
          <w:rFonts w:ascii="Arial" w:hAnsi="Arial" w:cs="Arial"/>
        </w:rPr>
        <w:t>V obecné rovině o</w:t>
      </w:r>
      <w:r w:rsidRPr="00F15C89">
        <w:rPr>
          <w:rFonts w:ascii="Arial" w:eastAsia="Cambria" w:hAnsi="Arial" w:cs="Arial"/>
        </w:rPr>
        <w:t xml:space="preserve">dpovědné veřejné zadávání </w:t>
      </w:r>
      <w:r w:rsidR="003F5A05" w:rsidRPr="00F15C89">
        <w:rPr>
          <w:rFonts w:ascii="Arial" w:eastAsia="Cambria" w:hAnsi="Arial" w:cs="Arial"/>
        </w:rPr>
        <w:t xml:space="preserve">(dále též „OVZ“) </w:t>
      </w:r>
      <w:r w:rsidRPr="00F15C89">
        <w:rPr>
          <w:rFonts w:ascii="Arial" w:eastAsia="Cambria" w:hAnsi="Arial" w:cs="Arial"/>
        </w:rPr>
        <w:t>spočívá v tom, že organizace veřejné správy nakupují produkty, služby a stavební práce, které potřebují, přičemž získávají maximální hodnotu za peníze vytvářením prospěchu pro společnost a</w:t>
      </w:r>
      <w:r w:rsidR="00772714" w:rsidRPr="00F15C89">
        <w:rPr>
          <w:rFonts w:ascii="Arial" w:eastAsia="Cambria" w:hAnsi="Arial" w:cs="Arial"/>
        </w:rPr>
        <w:t> </w:t>
      </w:r>
      <w:r w:rsidRPr="00F15C89">
        <w:rPr>
          <w:rFonts w:ascii="Arial" w:eastAsia="Cambria" w:hAnsi="Arial" w:cs="Arial"/>
        </w:rPr>
        <w:t xml:space="preserve">ekonomiku </w:t>
      </w:r>
      <w:r w:rsidR="00477383" w:rsidRPr="00F15C89">
        <w:rPr>
          <w:rFonts w:ascii="Arial" w:eastAsia="Cambria" w:hAnsi="Arial" w:cs="Arial"/>
        </w:rPr>
        <w:t>a</w:t>
      </w:r>
      <w:r w:rsidR="00477383">
        <w:rPr>
          <w:rFonts w:ascii="Arial" w:eastAsia="Cambria" w:hAnsi="Arial" w:cs="Arial"/>
        </w:rPr>
        <w:t> </w:t>
      </w:r>
      <w:r w:rsidRPr="00F15C89">
        <w:rPr>
          <w:rFonts w:ascii="Arial" w:eastAsia="Cambria" w:hAnsi="Arial" w:cs="Arial"/>
        </w:rPr>
        <w:t>minimalizací negativních dopadů na životní prostředí</w:t>
      </w:r>
      <w:r w:rsidRPr="00F15C89">
        <w:rPr>
          <w:rFonts w:ascii="Arial" w:hAnsi="Arial" w:cs="Arial"/>
          <w:vertAlign w:val="superscript"/>
        </w:rPr>
        <w:footnoteReference w:id="2"/>
      </w:r>
      <w:r w:rsidRPr="00F15C89">
        <w:rPr>
          <w:rFonts w:ascii="Arial" w:eastAsia="Cambria" w:hAnsi="Arial" w:cs="Arial"/>
        </w:rPr>
        <w:t xml:space="preserve">. Koncept odpovědného veřejného zadávání převážně obsahuje aspekty, které nejsou upraveny právními předpisy. Vedle toho však v případě, kdy právní předpisy nejsou důsledně dodržovány, s dopady zejména </w:t>
      </w:r>
      <w:r w:rsidR="00477383" w:rsidRPr="00F15C89">
        <w:rPr>
          <w:rFonts w:ascii="Arial" w:eastAsia="Cambria" w:hAnsi="Arial" w:cs="Arial"/>
        </w:rPr>
        <w:t>na</w:t>
      </w:r>
      <w:r w:rsidR="00477383">
        <w:rPr>
          <w:rFonts w:ascii="Arial" w:eastAsia="Cambria" w:hAnsi="Arial" w:cs="Arial"/>
        </w:rPr>
        <w:t> </w:t>
      </w:r>
      <w:r w:rsidRPr="00F15C89">
        <w:rPr>
          <w:rFonts w:ascii="Arial" w:eastAsia="Cambria" w:hAnsi="Arial" w:cs="Arial"/>
        </w:rPr>
        <w:t>pracovněprávní podmínky členů realizačního týmu, malé (i mikropodniky) a střední podniky anebo na</w:t>
      </w:r>
      <w:r w:rsidR="00772714" w:rsidRPr="00F15C89">
        <w:rPr>
          <w:rFonts w:ascii="Arial" w:eastAsia="Cambria" w:hAnsi="Arial" w:cs="Arial"/>
        </w:rPr>
        <w:t> </w:t>
      </w:r>
      <w:r w:rsidRPr="00F15C89">
        <w:rPr>
          <w:rFonts w:ascii="Arial" w:eastAsia="Cambria" w:hAnsi="Arial" w:cs="Arial"/>
        </w:rPr>
        <w:t xml:space="preserve">životní prostředí, je v praxi koncept OVZ využíván i </w:t>
      </w:r>
      <w:r w:rsidR="00F96471" w:rsidRPr="00F15C89">
        <w:rPr>
          <w:rFonts w:ascii="Arial" w:eastAsia="Cambria" w:hAnsi="Arial" w:cs="Arial"/>
        </w:rPr>
        <w:t>pro podporu </w:t>
      </w:r>
      <w:r w:rsidRPr="00F15C89">
        <w:rPr>
          <w:rFonts w:ascii="Arial" w:eastAsia="Cambria" w:hAnsi="Arial" w:cs="Arial"/>
        </w:rPr>
        <w:t>důsledné</w:t>
      </w:r>
      <w:r w:rsidR="00F96471" w:rsidRPr="00F15C89">
        <w:rPr>
          <w:rFonts w:ascii="Arial" w:eastAsia="Cambria" w:hAnsi="Arial" w:cs="Arial"/>
        </w:rPr>
        <w:t>ho dodržování</w:t>
      </w:r>
      <w:r w:rsidRPr="00F15C89">
        <w:rPr>
          <w:rFonts w:ascii="Arial" w:eastAsia="Cambria" w:hAnsi="Arial" w:cs="Arial"/>
        </w:rPr>
        <w:t xml:space="preserve"> již existujících právních norem pro pořízení plnění zadavateli za veřejné prostředky (viz níže</w:t>
      </w:r>
      <w:r w:rsidR="00C07D3A" w:rsidRPr="00F15C89">
        <w:rPr>
          <w:rFonts w:ascii="Arial" w:eastAsia="Cambria" w:hAnsi="Arial" w:cs="Arial"/>
        </w:rPr>
        <w:t xml:space="preserve"> zejména</w:t>
      </w:r>
      <w:r w:rsidRPr="00F15C89">
        <w:rPr>
          <w:rFonts w:ascii="Arial" w:eastAsia="Cambria" w:hAnsi="Arial" w:cs="Arial"/>
        </w:rPr>
        <w:t xml:space="preserve"> služby ostrahy, úklidové služby, oblast stavebnictví). OVZ tak navazuje </w:t>
      </w:r>
      <w:r w:rsidR="006E3615" w:rsidRPr="00F15C89">
        <w:rPr>
          <w:rFonts w:ascii="Arial" w:eastAsia="Cambria" w:hAnsi="Arial" w:cs="Arial"/>
        </w:rPr>
        <w:t xml:space="preserve">na </w:t>
      </w:r>
      <w:r w:rsidRPr="00F15C89">
        <w:rPr>
          <w:rFonts w:ascii="Arial" w:eastAsia="Cambria" w:hAnsi="Arial" w:cs="Arial"/>
        </w:rPr>
        <w:t xml:space="preserve">tzv. sektorální předpisy Evropské unie s přesahem do zadávacích řízení, </w:t>
      </w:r>
      <w:r w:rsidR="00596166" w:rsidRPr="00F15C89">
        <w:rPr>
          <w:rFonts w:ascii="Arial" w:eastAsia="Cambria" w:hAnsi="Arial" w:cs="Arial"/>
        </w:rPr>
        <w:t xml:space="preserve">které </w:t>
      </w:r>
      <w:r w:rsidR="00E62FA2" w:rsidRPr="00F15C89">
        <w:rPr>
          <w:rFonts w:ascii="Arial" w:eastAsia="Cambria" w:hAnsi="Arial" w:cs="Arial"/>
        </w:rPr>
        <w:t>upravují</w:t>
      </w:r>
      <w:r w:rsidR="00596166" w:rsidRPr="00F15C89">
        <w:rPr>
          <w:rFonts w:ascii="Arial" w:eastAsia="Cambria" w:hAnsi="Arial" w:cs="Arial"/>
        </w:rPr>
        <w:t xml:space="preserve"> environmentální či sociální aspekty</w:t>
      </w:r>
      <w:r w:rsidR="00E3768F" w:rsidRPr="00F15C89">
        <w:rPr>
          <w:rFonts w:ascii="Arial" w:eastAsia="Cambria" w:hAnsi="Arial" w:cs="Arial"/>
        </w:rPr>
        <w:t xml:space="preserve">, </w:t>
      </w:r>
      <w:r w:rsidRPr="00F15C89">
        <w:rPr>
          <w:rFonts w:ascii="Arial" w:eastAsia="Cambria" w:hAnsi="Arial" w:cs="Arial"/>
        </w:rPr>
        <w:t>uveden</w:t>
      </w:r>
      <w:r w:rsidR="006E3615" w:rsidRPr="00F15C89">
        <w:rPr>
          <w:rFonts w:ascii="Arial" w:eastAsia="Cambria" w:hAnsi="Arial" w:cs="Arial"/>
        </w:rPr>
        <w:t>é</w:t>
      </w:r>
      <w:r w:rsidRPr="00F15C89">
        <w:rPr>
          <w:rFonts w:ascii="Arial" w:eastAsia="Cambria" w:hAnsi="Arial" w:cs="Arial"/>
        </w:rPr>
        <w:t xml:space="preserve"> v závěru </w:t>
      </w:r>
      <w:r w:rsidR="008D5B68" w:rsidRPr="00F15C89">
        <w:rPr>
          <w:rFonts w:ascii="Arial" w:eastAsia="Cambria" w:hAnsi="Arial" w:cs="Arial"/>
        </w:rPr>
        <w:t>tohoto Odůvodnění</w:t>
      </w:r>
      <w:r w:rsidR="006E3615" w:rsidRPr="00F15C89">
        <w:rPr>
          <w:rFonts w:ascii="Arial" w:eastAsia="Cambria" w:hAnsi="Arial" w:cs="Arial"/>
        </w:rPr>
        <w:t xml:space="preserve"> a </w:t>
      </w:r>
      <w:r w:rsidR="006D615B" w:rsidRPr="00F15C89">
        <w:rPr>
          <w:rFonts w:ascii="Arial" w:eastAsia="Cambria" w:hAnsi="Arial" w:cs="Arial"/>
        </w:rPr>
        <w:t>dopl</w:t>
      </w:r>
      <w:r w:rsidR="006E3615" w:rsidRPr="00F15C89">
        <w:rPr>
          <w:rFonts w:ascii="Arial" w:eastAsia="Cambria" w:hAnsi="Arial" w:cs="Arial"/>
        </w:rPr>
        <w:t>ňuje</w:t>
      </w:r>
      <w:r w:rsidR="006D615B" w:rsidRPr="00F15C89">
        <w:rPr>
          <w:rFonts w:ascii="Arial" w:eastAsia="Cambria" w:hAnsi="Arial" w:cs="Arial"/>
        </w:rPr>
        <w:t xml:space="preserve"> je</w:t>
      </w:r>
      <w:r w:rsidRPr="00F15C89">
        <w:rPr>
          <w:rFonts w:ascii="Arial" w:eastAsia="Cambria" w:hAnsi="Arial" w:cs="Arial"/>
        </w:rPr>
        <w:t>.</w:t>
      </w:r>
    </w:p>
    <w:p w14:paraId="25F4C852" w14:textId="4DEB726D" w:rsidR="00934963" w:rsidRPr="00F15C89" w:rsidRDefault="00F13BB9" w:rsidP="00F35517">
      <w:pPr>
        <w:ind w:firstLine="567"/>
        <w:jc w:val="both"/>
        <w:rPr>
          <w:rFonts w:ascii="Arial" w:hAnsi="Arial" w:cs="Arial"/>
        </w:rPr>
      </w:pPr>
      <w:r w:rsidRPr="00F15C89">
        <w:rPr>
          <w:rFonts w:ascii="Arial" w:eastAsia="Cambria" w:hAnsi="Arial" w:cs="Arial"/>
        </w:rPr>
        <w:t xml:space="preserve">Minimální standardy OVZ </w:t>
      </w:r>
      <w:r w:rsidR="007928E3" w:rsidRPr="00F15C89">
        <w:rPr>
          <w:rFonts w:ascii="Arial" w:eastAsia="Cambria" w:hAnsi="Arial" w:cs="Arial"/>
        </w:rPr>
        <w:t xml:space="preserve">jsou zpracovány v návaznosti na </w:t>
      </w:r>
      <w:r w:rsidRPr="00F15C89">
        <w:rPr>
          <w:rFonts w:ascii="Arial" w:eastAsia="Cambria" w:hAnsi="Arial" w:cs="Arial"/>
        </w:rPr>
        <w:t xml:space="preserve">§ </w:t>
      </w:r>
      <w:r w:rsidRPr="00F15C89">
        <w:rPr>
          <w:rFonts w:ascii="Arial" w:hAnsi="Arial" w:cs="Arial"/>
        </w:rPr>
        <w:t>6 odst. 4 zákona č.</w:t>
      </w:r>
      <w:r w:rsidR="00EB2D29" w:rsidRPr="00F15C89">
        <w:rPr>
          <w:rFonts w:ascii="Arial" w:hAnsi="Arial" w:cs="Arial"/>
        </w:rPr>
        <w:t> </w:t>
      </w:r>
      <w:r w:rsidRPr="00F15C89">
        <w:rPr>
          <w:rFonts w:ascii="Arial" w:hAnsi="Arial" w:cs="Arial"/>
        </w:rPr>
        <w:t>134/2016 Sb., o</w:t>
      </w:r>
      <w:r w:rsidR="00772714" w:rsidRPr="00F15C89">
        <w:rPr>
          <w:rFonts w:ascii="Arial" w:hAnsi="Arial" w:cs="Arial"/>
        </w:rPr>
        <w:t> </w:t>
      </w:r>
      <w:r w:rsidRPr="00F15C89">
        <w:rPr>
          <w:rFonts w:ascii="Arial" w:hAnsi="Arial" w:cs="Arial"/>
        </w:rPr>
        <w:t xml:space="preserve">zadávání veřejných zakázek (dále též jen „ZZVZ“), </w:t>
      </w:r>
      <w:r w:rsidR="000C6B5D" w:rsidRPr="00F15C89">
        <w:rPr>
          <w:rFonts w:ascii="Arial" w:hAnsi="Arial" w:cs="Arial"/>
        </w:rPr>
        <w:t>přijatý</w:t>
      </w:r>
      <w:r w:rsidRPr="00F15C89">
        <w:rPr>
          <w:rFonts w:ascii="Arial" w:hAnsi="Arial" w:cs="Arial"/>
        </w:rPr>
        <w:t xml:space="preserve"> novelou s účinností od ledna 2021, který stanoví, že zadavatel při postupu podle ZZVZ je povinen, </w:t>
      </w:r>
      <w:r w:rsidR="00477383" w:rsidRPr="00F15C89">
        <w:rPr>
          <w:rFonts w:ascii="Arial" w:hAnsi="Arial" w:cs="Arial"/>
        </w:rPr>
        <w:t>za</w:t>
      </w:r>
      <w:r w:rsidR="00477383">
        <w:rPr>
          <w:rFonts w:ascii="Arial" w:hAnsi="Arial" w:cs="Arial"/>
        </w:rPr>
        <w:t> </w:t>
      </w:r>
      <w:r w:rsidRPr="00F15C89">
        <w:rPr>
          <w:rFonts w:ascii="Arial" w:hAnsi="Arial" w:cs="Arial"/>
        </w:rPr>
        <w:t>předpokladu, že to bude vzhledem k povaze a smyslu zakázky vhodné, dodržovat zásady sociálně odpovědného zadávání, environmentálně odpovědného zadávání a inovací. V § 28 odst. 1 písm. p) a q) je pak demonstrativně uvedeno, jaké aspekty může zadavatel pro splnění této povinnosti zohlednit. Environmentálně a</w:t>
      </w:r>
      <w:r w:rsidR="00772714" w:rsidRPr="00F15C89">
        <w:rPr>
          <w:rFonts w:ascii="Arial" w:hAnsi="Arial" w:cs="Arial"/>
        </w:rPr>
        <w:t> </w:t>
      </w:r>
      <w:r w:rsidRPr="00F15C89">
        <w:rPr>
          <w:rFonts w:ascii="Arial" w:hAnsi="Arial" w:cs="Arial"/>
        </w:rPr>
        <w:t>sociálně odpovědné veřejné zadávání je tak nedílnou součástí zásad veřejného zadávání, tedy jedním ze základních mantinelů pro postup zadavatele a důležitým interpretačním vodítkem pro výklad ostatních ustanovení ZZVZ</w:t>
      </w:r>
      <w:r w:rsidRPr="00F15C89">
        <w:rPr>
          <w:rStyle w:val="Znakapoznpodarou"/>
          <w:rFonts w:ascii="Arial" w:hAnsi="Arial" w:cs="Arial"/>
          <w:vertAlign w:val="superscript"/>
        </w:rPr>
        <w:footnoteReference w:id="3"/>
      </w:r>
      <w:r w:rsidRPr="00F15C89">
        <w:rPr>
          <w:rFonts w:ascii="Arial" w:hAnsi="Arial" w:cs="Arial"/>
        </w:rPr>
        <w:t>.</w:t>
      </w:r>
      <w:r w:rsidR="00A46F62" w:rsidRPr="00F15C89">
        <w:rPr>
          <w:rFonts w:ascii="Arial" w:hAnsi="Arial" w:cs="Arial"/>
        </w:rPr>
        <w:t xml:space="preserve"> </w:t>
      </w:r>
    </w:p>
    <w:p w14:paraId="58D2291E" w14:textId="3804AB78" w:rsidR="00F13BB9" w:rsidRPr="00F15C89" w:rsidRDefault="00934963" w:rsidP="00F35517">
      <w:pPr>
        <w:ind w:firstLine="567"/>
        <w:jc w:val="both"/>
        <w:rPr>
          <w:rFonts w:ascii="Arial" w:hAnsi="Arial" w:cs="Arial"/>
        </w:rPr>
      </w:pPr>
      <w:r w:rsidRPr="00F15C89">
        <w:rPr>
          <w:rFonts w:ascii="Arial" w:hAnsi="Arial" w:cs="Arial"/>
        </w:rPr>
        <w:t>Co se týče veřejných zakázek malého rozsahu, n</w:t>
      </w:r>
      <w:r w:rsidR="00FE3B61" w:rsidRPr="00F15C89">
        <w:rPr>
          <w:rFonts w:ascii="Arial" w:hAnsi="Arial" w:cs="Arial"/>
        </w:rPr>
        <w:t xml:space="preserve">ovelou ZZVZ </w:t>
      </w:r>
      <w:r w:rsidR="00465B00" w:rsidRPr="00F15C89">
        <w:rPr>
          <w:rFonts w:ascii="Arial" w:hAnsi="Arial" w:cs="Arial"/>
        </w:rPr>
        <w:t>z r. 2023 byl</w:t>
      </w:r>
      <w:r w:rsidR="00520063" w:rsidRPr="00F15C89">
        <w:rPr>
          <w:rFonts w:ascii="Arial" w:hAnsi="Arial" w:cs="Arial"/>
        </w:rPr>
        <w:t>o</w:t>
      </w:r>
      <w:r w:rsidR="00465B00" w:rsidRPr="00F15C89">
        <w:rPr>
          <w:rFonts w:ascii="Arial" w:hAnsi="Arial" w:cs="Arial"/>
        </w:rPr>
        <w:t xml:space="preserve"> </w:t>
      </w:r>
      <w:r w:rsidR="00520063" w:rsidRPr="00F15C89">
        <w:rPr>
          <w:rFonts w:ascii="Arial" w:hAnsi="Arial" w:cs="Arial"/>
        </w:rPr>
        <w:t>stanoveno, že</w:t>
      </w:r>
      <w:r w:rsidR="003E390D" w:rsidRPr="00F15C89">
        <w:rPr>
          <w:rFonts w:ascii="Arial" w:hAnsi="Arial" w:cs="Arial"/>
        </w:rPr>
        <w:t xml:space="preserve"> při zadávání</w:t>
      </w:r>
      <w:r w:rsidR="00520063" w:rsidRPr="00F15C89">
        <w:rPr>
          <w:rFonts w:ascii="Arial" w:hAnsi="Arial" w:cs="Arial"/>
        </w:rPr>
        <w:t xml:space="preserve"> veřejn</w:t>
      </w:r>
      <w:r w:rsidR="003E390D" w:rsidRPr="00F15C89">
        <w:rPr>
          <w:rFonts w:ascii="Arial" w:hAnsi="Arial" w:cs="Arial"/>
        </w:rPr>
        <w:t>ých</w:t>
      </w:r>
      <w:r w:rsidR="00520063" w:rsidRPr="00F15C89">
        <w:rPr>
          <w:rFonts w:ascii="Arial" w:hAnsi="Arial" w:cs="Arial"/>
        </w:rPr>
        <w:t xml:space="preserve"> zakáz</w:t>
      </w:r>
      <w:r w:rsidR="003E390D" w:rsidRPr="00F15C89">
        <w:rPr>
          <w:rFonts w:ascii="Arial" w:hAnsi="Arial" w:cs="Arial"/>
        </w:rPr>
        <w:t>e</w:t>
      </w:r>
      <w:r w:rsidR="00520063" w:rsidRPr="00F15C89">
        <w:rPr>
          <w:rFonts w:ascii="Arial" w:hAnsi="Arial" w:cs="Arial"/>
        </w:rPr>
        <w:t xml:space="preserve">k malého rozsahu </w:t>
      </w:r>
      <w:r w:rsidR="003E390D" w:rsidRPr="00F15C89">
        <w:rPr>
          <w:rFonts w:ascii="Arial" w:hAnsi="Arial" w:cs="Arial"/>
        </w:rPr>
        <w:t xml:space="preserve">není zadavatel povinen </w:t>
      </w:r>
      <w:r w:rsidR="00C355D9" w:rsidRPr="00F15C89">
        <w:rPr>
          <w:rFonts w:ascii="Arial" w:hAnsi="Arial" w:cs="Arial"/>
        </w:rPr>
        <w:t>dodržovat zásady environmentálně a sociálně odpovědného zadávání</w:t>
      </w:r>
      <w:r w:rsidRPr="00F15C89">
        <w:rPr>
          <w:rFonts w:ascii="Arial" w:hAnsi="Arial" w:cs="Arial"/>
        </w:rPr>
        <w:t xml:space="preserve"> </w:t>
      </w:r>
      <w:r w:rsidR="00571143" w:rsidRPr="00F15C89">
        <w:rPr>
          <w:rFonts w:ascii="Arial" w:hAnsi="Arial" w:cs="Arial"/>
        </w:rPr>
        <w:t>Nicméně</w:t>
      </w:r>
      <w:r w:rsidR="00CF41EB" w:rsidRPr="00F15C89">
        <w:rPr>
          <w:rFonts w:ascii="Arial" w:hAnsi="Arial" w:cs="Arial"/>
        </w:rPr>
        <w:t>, i</w:t>
      </w:r>
      <w:r w:rsidR="00EB2D29" w:rsidRPr="00F15C89">
        <w:rPr>
          <w:rFonts w:ascii="Arial" w:hAnsi="Arial" w:cs="Arial"/>
        </w:rPr>
        <w:t> </w:t>
      </w:r>
      <w:r w:rsidR="00CF41EB" w:rsidRPr="00F15C89">
        <w:rPr>
          <w:rFonts w:ascii="Arial" w:hAnsi="Arial" w:cs="Arial"/>
        </w:rPr>
        <w:t>v souvislosti s</w:t>
      </w:r>
      <w:r w:rsidR="008A2E27" w:rsidRPr="00F15C89">
        <w:rPr>
          <w:rFonts w:ascii="Arial" w:hAnsi="Arial" w:cs="Arial"/>
        </w:rPr>
        <w:t> </w:t>
      </w:r>
      <w:r w:rsidR="0054581C" w:rsidRPr="00F15C89">
        <w:rPr>
          <w:rFonts w:ascii="Arial" w:hAnsi="Arial" w:cs="Arial"/>
        </w:rPr>
        <w:t>Metodikou veřejného nakupování</w:t>
      </w:r>
      <w:r w:rsidR="00970A5D" w:rsidRPr="00F15C89">
        <w:rPr>
          <w:rFonts w:ascii="Arial" w:hAnsi="Arial" w:cs="Arial"/>
        </w:rPr>
        <w:t xml:space="preserve"> Ministerstva financí</w:t>
      </w:r>
      <w:r w:rsidR="0054581C" w:rsidRPr="00F15C89">
        <w:rPr>
          <w:rFonts w:ascii="Arial" w:hAnsi="Arial" w:cs="Arial"/>
        </w:rPr>
        <w:t xml:space="preserve">, je nadále </w:t>
      </w:r>
      <w:r w:rsidR="00B10811" w:rsidRPr="00F15C89">
        <w:rPr>
          <w:rFonts w:ascii="Arial" w:hAnsi="Arial" w:cs="Arial"/>
        </w:rPr>
        <w:t xml:space="preserve">vhodné zásady OVZ využívat </w:t>
      </w:r>
      <w:r w:rsidR="004F74C0" w:rsidRPr="00F15C89">
        <w:rPr>
          <w:rFonts w:ascii="Arial" w:hAnsi="Arial" w:cs="Arial"/>
        </w:rPr>
        <w:t xml:space="preserve">i ve vztahu k VZMR, protože to může přispět k větší </w:t>
      </w:r>
      <w:r w:rsidR="0093478A" w:rsidRPr="00F15C89">
        <w:rPr>
          <w:rFonts w:ascii="Arial" w:hAnsi="Arial" w:cs="Arial"/>
        </w:rPr>
        <w:t>hospodárnosti a navýšením přínosů a přidané hodnoty</w:t>
      </w:r>
      <w:r w:rsidR="00C122EB" w:rsidRPr="00F15C89">
        <w:rPr>
          <w:rFonts w:ascii="Arial" w:hAnsi="Arial" w:cs="Arial"/>
        </w:rPr>
        <w:t>,</w:t>
      </w:r>
      <w:r w:rsidR="0093478A" w:rsidRPr="00F15C89">
        <w:rPr>
          <w:rFonts w:ascii="Arial" w:hAnsi="Arial" w:cs="Arial"/>
        </w:rPr>
        <w:t xml:space="preserve"> k větší efektivnosti, </w:t>
      </w:r>
      <w:r w:rsidR="0078430D" w:rsidRPr="00F15C89">
        <w:rPr>
          <w:rFonts w:ascii="Arial" w:hAnsi="Arial" w:cs="Arial"/>
        </w:rPr>
        <w:t>jak pro organizaci, tak pro společnost.</w:t>
      </w:r>
    </w:p>
    <w:p w14:paraId="1DFB38DA" w14:textId="06FA7B85" w:rsidR="00DB2989" w:rsidRPr="00F15C89" w:rsidRDefault="00CC3E6F" w:rsidP="00F35517">
      <w:pPr>
        <w:ind w:firstLine="567"/>
        <w:jc w:val="both"/>
        <w:rPr>
          <w:rFonts w:ascii="Arial" w:hAnsi="Arial" w:cs="Arial"/>
        </w:rPr>
      </w:pPr>
      <w:r w:rsidRPr="00F15C89">
        <w:rPr>
          <w:rFonts w:ascii="Arial" w:hAnsi="Arial" w:cs="Arial"/>
        </w:rPr>
        <w:t xml:space="preserve">Ve vztahu k odpovědnému veřejnému zadávání není </w:t>
      </w:r>
      <w:r w:rsidR="0031254C" w:rsidRPr="00F15C89">
        <w:rPr>
          <w:rFonts w:ascii="Arial" w:hAnsi="Arial" w:cs="Arial"/>
        </w:rPr>
        <w:t xml:space="preserve">dosud k dispozici </w:t>
      </w:r>
      <w:r w:rsidRPr="00F15C89">
        <w:rPr>
          <w:rFonts w:ascii="Arial" w:hAnsi="Arial" w:cs="Arial"/>
        </w:rPr>
        <w:t>ro</w:t>
      </w:r>
      <w:r w:rsidR="00D64A65" w:rsidRPr="00F15C89">
        <w:rPr>
          <w:rFonts w:ascii="Arial" w:hAnsi="Arial" w:cs="Arial"/>
        </w:rPr>
        <w:t>bustní</w:t>
      </w:r>
      <w:r w:rsidRPr="00F15C89">
        <w:rPr>
          <w:rFonts w:ascii="Arial" w:hAnsi="Arial" w:cs="Arial"/>
        </w:rPr>
        <w:t xml:space="preserve"> </w:t>
      </w:r>
      <w:r w:rsidR="0031254C" w:rsidRPr="00F15C89">
        <w:rPr>
          <w:rFonts w:ascii="Arial" w:hAnsi="Arial" w:cs="Arial"/>
        </w:rPr>
        <w:t xml:space="preserve">rozhodovací praxe </w:t>
      </w:r>
      <w:r w:rsidR="00AF1300" w:rsidRPr="00F15C89">
        <w:rPr>
          <w:rFonts w:ascii="Arial" w:hAnsi="Arial" w:cs="Arial"/>
        </w:rPr>
        <w:t>Úřadu pro ochranu hospodářské soutěže</w:t>
      </w:r>
      <w:r w:rsidR="00881B37" w:rsidRPr="00F15C89">
        <w:rPr>
          <w:rFonts w:ascii="Arial" w:hAnsi="Arial" w:cs="Arial"/>
        </w:rPr>
        <w:t xml:space="preserve"> a</w:t>
      </w:r>
      <w:r w:rsidR="00AF1300" w:rsidRPr="00F15C89">
        <w:rPr>
          <w:rFonts w:ascii="Arial" w:hAnsi="Arial" w:cs="Arial"/>
        </w:rPr>
        <w:t xml:space="preserve"> soudů.</w:t>
      </w:r>
      <w:r w:rsidR="00D64A65" w:rsidRPr="00F15C89">
        <w:rPr>
          <w:rFonts w:ascii="Arial" w:hAnsi="Arial" w:cs="Arial"/>
        </w:rPr>
        <w:t xml:space="preserve"> </w:t>
      </w:r>
      <w:r w:rsidR="00057E55" w:rsidRPr="00F15C89">
        <w:rPr>
          <w:rFonts w:ascii="Arial" w:hAnsi="Arial" w:cs="Arial"/>
        </w:rPr>
        <w:t>K</w:t>
      </w:r>
      <w:r w:rsidR="00D64A65" w:rsidRPr="00F15C89">
        <w:rPr>
          <w:rFonts w:ascii="Arial" w:hAnsi="Arial" w:cs="Arial"/>
        </w:rPr>
        <w:t xml:space="preserve"> míře odpovědného veřejného zadávání </w:t>
      </w:r>
      <w:r w:rsidR="00100A2A" w:rsidRPr="00F15C89">
        <w:rPr>
          <w:rFonts w:ascii="Arial" w:hAnsi="Arial" w:cs="Arial"/>
        </w:rPr>
        <w:t xml:space="preserve">vydal </w:t>
      </w:r>
      <w:r w:rsidR="00D43FAA" w:rsidRPr="00F15C89">
        <w:rPr>
          <w:rFonts w:ascii="Arial" w:hAnsi="Arial" w:cs="Arial"/>
        </w:rPr>
        <w:t>Nejvyšší správní soud</w:t>
      </w:r>
      <w:r w:rsidR="00100A2A" w:rsidRPr="00F15C89">
        <w:rPr>
          <w:rFonts w:ascii="Arial" w:hAnsi="Arial" w:cs="Arial"/>
        </w:rPr>
        <w:t xml:space="preserve"> rozsudek</w:t>
      </w:r>
      <w:r w:rsidR="00D43FAA" w:rsidRPr="00F15C89">
        <w:rPr>
          <w:rFonts w:ascii="Arial" w:hAnsi="Arial" w:cs="Arial"/>
        </w:rPr>
        <w:t xml:space="preserve"> č.j. 10 As 328/</w:t>
      </w:r>
      <w:r w:rsidR="001B1C32" w:rsidRPr="00F15C89">
        <w:rPr>
          <w:rFonts w:ascii="Arial" w:hAnsi="Arial" w:cs="Arial"/>
        </w:rPr>
        <w:t>2023</w:t>
      </w:r>
      <w:r w:rsidR="00764ACA" w:rsidRPr="00F15C89">
        <w:rPr>
          <w:rFonts w:ascii="Arial" w:hAnsi="Arial" w:cs="Arial"/>
        </w:rPr>
        <w:t>-</w:t>
      </w:r>
      <w:r w:rsidR="001B1C32" w:rsidRPr="00F15C89">
        <w:rPr>
          <w:rFonts w:ascii="Arial" w:hAnsi="Arial" w:cs="Arial"/>
        </w:rPr>
        <w:t>44</w:t>
      </w:r>
      <w:r w:rsidR="001A3A67" w:rsidRPr="00F15C89">
        <w:rPr>
          <w:rStyle w:val="Znakapoznpodarou"/>
          <w:rFonts w:ascii="Arial" w:hAnsi="Arial" w:cs="Arial"/>
          <w:vertAlign w:val="superscript"/>
        </w:rPr>
        <w:footnoteReference w:id="4"/>
      </w:r>
      <w:r w:rsidR="00F92283" w:rsidRPr="00F15C89">
        <w:rPr>
          <w:rFonts w:ascii="Arial" w:hAnsi="Arial" w:cs="Arial"/>
        </w:rPr>
        <w:t xml:space="preserve"> ze dne</w:t>
      </w:r>
      <w:r w:rsidR="00E245D9" w:rsidRPr="00F15C89">
        <w:rPr>
          <w:rFonts w:ascii="Arial" w:hAnsi="Arial" w:cs="Arial"/>
        </w:rPr>
        <w:t xml:space="preserve"> 29.10.2024</w:t>
      </w:r>
      <w:r w:rsidR="00DB2989" w:rsidRPr="00F15C89">
        <w:rPr>
          <w:rFonts w:ascii="Arial" w:hAnsi="Arial" w:cs="Arial"/>
        </w:rPr>
        <w:t>, který</w:t>
      </w:r>
      <w:r w:rsidR="00100A2A" w:rsidRPr="00F15C89">
        <w:rPr>
          <w:rFonts w:ascii="Arial" w:hAnsi="Arial" w:cs="Arial"/>
        </w:rPr>
        <w:t>m</w:t>
      </w:r>
      <w:r w:rsidR="00DB2989" w:rsidRPr="00F15C89">
        <w:rPr>
          <w:rFonts w:ascii="Arial" w:hAnsi="Arial" w:cs="Arial"/>
        </w:rPr>
        <w:t xml:space="preserve"> </w:t>
      </w:r>
      <w:r w:rsidR="00DF345F" w:rsidRPr="00F15C89">
        <w:rPr>
          <w:rFonts w:ascii="Arial" w:hAnsi="Arial" w:cs="Arial"/>
        </w:rPr>
        <w:t xml:space="preserve">zamítl kasační stížnost </w:t>
      </w:r>
      <w:r w:rsidR="00D55305" w:rsidRPr="00F15C89">
        <w:rPr>
          <w:rFonts w:ascii="Arial" w:hAnsi="Arial" w:cs="Arial"/>
        </w:rPr>
        <w:t>proti</w:t>
      </w:r>
      <w:r w:rsidR="00DF345F" w:rsidRPr="00F15C89">
        <w:rPr>
          <w:rFonts w:ascii="Arial" w:hAnsi="Arial" w:cs="Arial"/>
        </w:rPr>
        <w:t xml:space="preserve"> rozsudku </w:t>
      </w:r>
      <w:r w:rsidR="00D55305" w:rsidRPr="00F15C89">
        <w:rPr>
          <w:rFonts w:ascii="Arial" w:hAnsi="Arial" w:cs="Arial"/>
        </w:rPr>
        <w:t xml:space="preserve">Krajského soudu v Brně </w:t>
      </w:r>
      <w:r w:rsidR="00F92283" w:rsidRPr="00F15C89">
        <w:rPr>
          <w:rFonts w:ascii="Arial" w:hAnsi="Arial" w:cs="Arial"/>
        </w:rPr>
        <w:t>čj. 31 Af 40/2022-136</w:t>
      </w:r>
      <w:r w:rsidR="00AC2545" w:rsidRPr="00F15C89">
        <w:rPr>
          <w:rStyle w:val="Znakapoznpodarou"/>
          <w:rFonts w:ascii="Arial" w:hAnsi="Arial" w:cs="Arial"/>
          <w:vertAlign w:val="superscript"/>
        </w:rPr>
        <w:footnoteReference w:id="5"/>
      </w:r>
      <w:r w:rsidR="00F92283" w:rsidRPr="00F15C89">
        <w:rPr>
          <w:rFonts w:ascii="Arial" w:hAnsi="Arial" w:cs="Arial"/>
        </w:rPr>
        <w:t xml:space="preserve"> ze dne 12. 12. 2023</w:t>
      </w:r>
      <w:r w:rsidR="007344D6" w:rsidRPr="00F15C89">
        <w:rPr>
          <w:rFonts w:ascii="Arial" w:hAnsi="Arial" w:cs="Arial"/>
        </w:rPr>
        <w:t xml:space="preserve"> ve věci </w:t>
      </w:r>
      <w:r w:rsidR="00894122" w:rsidRPr="00F15C89">
        <w:rPr>
          <w:rFonts w:ascii="Arial" w:hAnsi="Arial" w:cs="Arial"/>
        </w:rPr>
        <w:t>„Alternativní tonery“</w:t>
      </w:r>
      <w:r w:rsidR="00E245D9" w:rsidRPr="00F15C89">
        <w:rPr>
          <w:rFonts w:ascii="Arial" w:hAnsi="Arial" w:cs="Arial"/>
        </w:rPr>
        <w:t>.</w:t>
      </w:r>
    </w:p>
    <w:p w14:paraId="42CE20B5" w14:textId="7E77F9EA" w:rsidR="002C6314" w:rsidRPr="00F15C89" w:rsidRDefault="00B150B4" w:rsidP="008138CC">
      <w:pPr>
        <w:ind w:firstLine="360"/>
        <w:jc w:val="both"/>
        <w:rPr>
          <w:rFonts w:ascii="Arial" w:hAnsi="Arial" w:cs="Arial"/>
        </w:rPr>
      </w:pPr>
      <w:r w:rsidRPr="00F15C89">
        <w:rPr>
          <w:rFonts w:ascii="Arial" w:hAnsi="Arial" w:cs="Arial"/>
        </w:rPr>
        <w:lastRenderedPageBreak/>
        <w:t>R</w:t>
      </w:r>
      <w:r w:rsidR="003320BD" w:rsidRPr="00F15C89">
        <w:rPr>
          <w:rFonts w:ascii="Arial" w:hAnsi="Arial" w:cs="Arial"/>
        </w:rPr>
        <w:t>ozsud</w:t>
      </w:r>
      <w:r w:rsidRPr="00F15C89">
        <w:rPr>
          <w:rFonts w:ascii="Arial" w:hAnsi="Arial" w:cs="Arial"/>
        </w:rPr>
        <w:t>e</w:t>
      </w:r>
      <w:r w:rsidR="003320BD" w:rsidRPr="00F15C89">
        <w:rPr>
          <w:rFonts w:ascii="Arial" w:hAnsi="Arial" w:cs="Arial"/>
        </w:rPr>
        <w:t>k</w:t>
      </w:r>
      <w:r w:rsidRPr="00F15C89">
        <w:rPr>
          <w:rFonts w:ascii="Arial" w:hAnsi="Arial" w:cs="Arial"/>
        </w:rPr>
        <w:t xml:space="preserve"> KS</w:t>
      </w:r>
      <w:r w:rsidR="003320BD" w:rsidRPr="00F15C89">
        <w:rPr>
          <w:rFonts w:ascii="Arial" w:hAnsi="Arial" w:cs="Arial"/>
        </w:rPr>
        <w:t xml:space="preserve"> v Brně čj. 31 Af 40/2022-136</w:t>
      </w:r>
      <w:r w:rsidR="005E7563" w:rsidRPr="00F15C89">
        <w:rPr>
          <w:rFonts w:ascii="Arial" w:hAnsi="Arial" w:cs="Arial"/>
        </w:rPr>
        <w:t xml:space="preserve"> </w:t>
      </w:r>
      <w:r w:rsidR="00E00FC7" w:rsidRPr="00F15C89">
        <w:rPr>
          <w:rFonts w:ascii="Arial" w:hAnsi="Arial" w:cs="Arial"/>
        </w:rPr>
        <w:t xml:space="preserve">zamítl žalobu </w:t>
      </w:r>
      <w:r w:rsidR="00B37D93" w:rsidRPr="00F15C89">
        <w:rPr>
          <w:rFonts w:ascii="Arial" w:hAnsi="Arial" w:cs="Arial"/>
        </w:rPr>
        <w:t>brojící proti</w:t>
      </w:r>
      <w:r w:rsidR="0029655B" w:rsidRPr="00F15C89">
        <w:rPr>
          <w:rFonts w:ascii="Arial" w:hAnsi="Arial" w:cs="Arial"/>
        </w:rPr>
        <w:t xml:space="preserve"> rozhodnutí </w:t>
      </w:r>
      <w:r w:rsidR="00255A89" w:rsidRPr="00F15C89">
        <w:rPr>
          <w:rFonts w:ascii="Arial" w:hAnsi="Arial" w:cs="Arial"/>
        </w:rPr>
        <w:t>předsedy Úřadu pro ochranu hospodářské soutěže</w:t>
      </w:r>
      <w:r w:rsidR="00362126" w:rsidRPr="00F15C89">
        <w:rPr>
          <w:rFonts w:ascii="Arial" w:hAnsi="Arial" w:cs="Arial"/>
        </w:rPr>
        <w:t xml:space="preserve"> o rozkladu, přičemž předmětem sporu </w:t>
      </w:r>
      <w:r w:rsidR="00B63399" w:rsidRPr="00F15C89">
        <w:rPr>
          <w:rFonts w:ascii="Arial" w:hAnsi="Arial" w:cs="Arial"/>
        </w:rPr>
        <w:t xml:space="preserve">byla otázka, zda zadávací podmínky dostatečně naplňují požadavek zásad environmentálně a sociálně odpovědného zadávání. </w:t>
      </w:r>
      <w:r w:rsidR="00E00FC7" w:rsidRPr="00F15C89">
        <w:rPr>
          <w:rFonts w:ascii="Arial" w:hAnsi="Arial" w:cs="Arial"/>
        </w:rPr>
        <w:t>Soud k</w:t>
      </w:r>
      <w:r w:rsidRPr="00F15C89">
        <w:rPr>
          <w:rFonts w:ascii="Arial" w:hAnsi="Arial" w:cs="Arial"/>
        </w:rPr>
        <w:t>onstat</w:t>
      </w:r>
      <w:r w:rsidR="00E00FC7" w:rsidRPr="00F15C89">
        <w:rPr>
          <w:rFonts w:ascii="Arial" w:hAnsi="Arial" w:cs="Arial"/>
        </w:rPr>
        <w:t>oval</w:t>
      </w:r>
      <w:r w:rsidRPr="00F15C89">
        <w:rPr>
          <w:rFonts w:ascii="Arial" w:hAnsi="Arial" w:cs="Arial"/>
        </w:rPr>
        <w:t>, že</w:t>
      </w:r>
      <w:r w:rsidR="00194455" w:rsidRPr="00F15C89">
        <w:rPr>
          <w:rFonts w:ascii="Arial" w:hAnsi="Arial" w:cs="Arial"/>
        </w:rPr>
        <w:t xml:space="preserve"> v</w:t>
      </w:r>
      <w:r w:rsidRPr="00F15C89">
        <w:rPr>
          <w:rFonts w:ascii="Arial" w:hAnsi="Arial" w:cs="Arial"/>
        </w:rPr>
        <w:t xml:space="preserve"> </w:t>
      </w:r>
      <w:r w:rsidR="003320BD" w:rsidRPr="00F15C89">
        <w:rPr>
          <w:rFonts w:ascii="Arial" w:hAnsi="Arial" w:cs="Arial"/>
        </w:rPr>
        <w:t>§ 6 odst.</w:t>
      </w:r>
      <w:r w:rsidR="000A44AF" w:rsidRPr="00F15C89">
        <w:rPr>
          <w:rFonts w:ascii="Arial" w:hAnsi="Arial" w:cs="Arial"/>
        </w:rPr>
        <w:t> </w:t>
      </w:r>
      <w:r w:rsidR="003320BD" w:rsidRPr="00F15C89">
        <w:rPr>
          <w:rFonts w:ascii="Arial" w:hAnsi="Arial" w:cs="Arial"/>
        </w:rPr>
        <w:t xml:space="preserve">4 ZZVZ </w:t>
      </w:r>
      <w:r w:rsidR="00423F83" w:rsidRPr="00F15C89">
        <w:rPr>
          <w:rFonts w:ascii="Arial" w:hAnsi="Arial" w:cs="Arial"/>
        </w:rPr>
        <w:t>je z</w:t>
      </w:r>
      <w:r w:rsidR="00C76688" w:rsidRPr="00F15C89">
        <w:rPr>
          <w:rFonts w:ascii="Arial" w:hAnsi="Arial" w:cs="Arial"/>
        </w:rPr>
        <w:t xml:space="preserve"> pohledu</w:t>
      </w:r>
      <w:r w:rsidR="00423F83" w:rsidRPr="00F15C89">
        <w:rPr>
          <w:rFonts w:ascii="Arial" w:hAnsi="Arial" w:cs="Arial"/>
        </w:rPr>
        <w:t xml:space="preserve"> systematického </w:t>
      </w:r>
      <w:r w:rsidR="00C76688" w:rsidRPr="00F15C89">
        <w:rPr>
          <w:rFonts w:ascii="Arial" w:hAnsi="Arial" w:cs="Arial"/>
        </w:rPr>
        <w:t xml:space="preserve">výkladu </w:t>
      </w:r>
      <w:r w:rsidR="00C742DF" w:rsidRPr="00F15C89">
        <w:rPr>
          <w:rFonts w:ascii="Arial" w:hAnsi="Arial" w:cs="Arial"/>
        </w:rPr>
        <w:t xml:space="preserve">stanovena </w:t>
      </w:r>
      <w:r w:rsidR="00C76688" w:rsidRPr="00F15C89">
        <w:rPr>
          <w:rFonts w:ascii="Arial" w:hAnsi="Arial" w:cs="Arial"/>
        </w:rPr>
        <w:t>jedna ze zásad</w:t>
      </w:r>
      <w:r w:rsidR="00EB505E" w:rsidRPr="00F15C89">
        <w:rPr>
          <w:rFonts w:ascii="Arial" w:hAnsi="Arial" w:cs="Arial"/>
        </w:rPr>
        <w:t xml:space="preserve">, které slouží v první řadě jako výkladové vodítko pro ostatní ustanovení ZZVZ. Z § 6 odst. 4 ZZVZ </w:t>
      </w:r>
      <w:r w:rsidR="003320BD" w:rsidRPr="00F15C89">
        <w:rPr>
          <w:rFonts w:ascii="Arial" w:hAnsi="Arial" w:cs="Arial"/>
        </w:rPr>
        <w:t xml:space="preserve">ve spojení s § 28 odst. 1 písm. p) a q) ZZVZ vyplývá toliko povinnost při zadávání veřejné zakázky řádně zohlednit aspekty sociálně </w:t>
      </w:r>
      <w:r w:rsidR="00477383" w:rsidRPr="00F15C89">
        <w:rPr>
          <w:rFonts w:ascii="Arial" w:hAnsi="Arial" w:cs="Arial"/>
        </w:rPr>
        <w:t>a</w:t>
      </w:r>
      <w:r w:rsidR="00477383">
        <w:rPr>
          <w:rFonts w:ascii="Arial" w:hAnsi="Arial" w:cs="Arial"/>
        </w:rPr>
        <w:t> </w:t>
      </w:r>
      <w:r w:rsidR="003320BD" w:rsidRPr="00F15C89">
        <w:rPr>
          <w:rFonts w:ascii="Arial" w:hAnsi="Arial" w:cs="Arial"/>
        </w:rPr>
        <w:t>environmentálně odpovědného zadávání, pokud to bude s ohledem na povahu a účel veřejné zakázky vhodné</w:t>
      </w:r>
      <w:r w:rsidR="00CC142D" w:rsidRPr="00F15C89">
        <w:rPr>
          <w:rFonts w:ascii="Arial" w:hAnsi="Arial" w:cs="Arial"/>
        </w:rPr>
        <w:t xml:space="preserve">, nikoli </w:t>
      </w:r>
      <w:r w:rsidR="003320BD" w:rsidRPr="00F15C89">
        <w:rPr>
          <w:rFonts w:ascii="Arial" w:hAnsi="Arial" w:cs="Arial"/>
        </w:rPr>
        <w:t xml:space="preserve">minimální úroveň ochrany, kterou by měl zadavatel hodnotám chráněným § 6 odst. 4 ZZVZ přiřknout. </w:t>
      </w:r>
      <w:r w:rsidR="00201BCC" w:rsidRPr="00F15C89">
        <w:rPr>
          <w:rFonts w:ascii="Arial" w:hAnsi="Arial" w:cs="Arial"/>
        </w:rPr>
        <w:t>T</w:t>
      </w:r>
      <w:r w:rsidR="00074062" w:rsidRPr="00F15C89">
        <w:rPr>
          <w:rFonts w:ascii="Arial" w:hAnsi="Arial" w:cs="Arial"/>
        </w:rPr>
        <w:t xml:space="preserve">akové rozhodnutí </w:t>
      </w:r>
      <w:r w:rsidR="00201BCC" w:rsidRPr="00F15C89">
        <w:rPr>
          <w:rFonts w:ascii="Arial" w:hAnsi="Arial" w:cs="Arial"/>
        </w:rPr>
        <w:t xml:space="preserve">je </w:t>
      </w:r>
      <w:r w:rsidR="003320BD" w:rsidRPr="00F15C89">
        <w:rPr>
          <w:rFonts w:ascii="Arial" w:hAnsi="Arial" w:cs="Arial"/>
        </w:rPr>
        <w:t>na zadavateli</w:t>
      </w:r>
      <w:r w:rsidR="00201BCC" w:rsidRPr="00F15C89">
        <w:rPr>
          <w:rFonts w:ascii="Arial" w:hAnsi="Arial" w:cs="Arial"/>
        </w:rPr>
        <w:t>, s tím, že z</w:t>
      </w:r>
      <w:r w:rsidR="003320BD" w:rsidRPr="00F15C89">
        <w:rPr>
          <w:rFonts w:ascii="Arial" w:hAnsi="Arial" w:cs="Arial"/>
        </w:rPr>
        <w:t>volená opatření, resp.</w:t>
      </w:r>
      <w:r w:rsidR="008D5523" w:rsidRPr="00F15C89">
        <w:rPr>
          <w:rFonts w:ascii="Arial" w:hAnsi="Arial" w:cs="Arial"/>
        </w:rPr>
        <w:t> </w:t>
      </w:r>
      <w:r w:rsidR="003320BD" w:rsidRPr="00F15C89">
        <w:rPr>
          <w:rFonts w:ascii="Arial" w:hAnsi="Arial" w:cs="Arial"/>
        </w:rPr>
        <w:t>absenci těchto opatření, musí řádně odůvodnit.</w:t>
      </w:r>
      <w:r w:rsidR="00784FEA" w:rsidRPr="00F15C89">
        <w:rPr>
          <w:rFonts w:ascii="Arial" w:hAnsi="Arial" w:cs="Arial"/>
        </w:rPr>
        <w:t xml:space="preserve"> </w:t>
      </w:r>
      <w:r w:rsidR="007B19E7" w:rsidRPr="00F15C89">
        <w:rPr>
          <w:rFonts w:ascii="Arial" w:hAnsi="Arial" w:cs="Arial"/>
        </w:rPr>
        <w:t>Rozsudek také uvádí, že úkolem soudu není nahrazovat vůli zadavatele a autoritativně určovat, která vhodnější opatření měl zadavatel přijmout, potažmo když z § 6 odst. 4 ZZVZ neplyne povinnost zadavatele přijmout opatření, které je s ohledem na zásady odpovědného zadávání to nejvhodnější.</w:t>
      </w:r>
      <w:r w:rsidR="004B175F" w:rsidRPr="00F15C89">
        <w:rPr>
          <w:rFonts w:ascii="Arial" w:hAnsi="Arial" w:cs="Arial"/>
        </w:rPr>
        <w:t xml:space="preserve"> </w:t>
      </w:r>
      <w:r w:rsidR="005C108F" w:rsidRPr="00F15C89">
        <w:rPr>
          <w:rFonts w:ascii="Arial" w:hAnsi="Arial" w:cs="Arial"/>
        </w:rPr>
        <w:t>Soud</w:t>
      </w:r>
      <w:r w:rsidR="003164F9" w:rsidRPr="00F15C89">
        <w:rPr>
          <w:rFonts w:ascii="Arial" w:hAnsi="Arial" w:cs="Arial"/>
        </w:rPr>
        <w:t xml:space="preserve"> se nicméně </w:t>
      </w:r>
      <w:r w:rsidR="005C108F" w:rsidRPr="00F15C89">
        <w:rPr>
          <w:rFonts w:ascii="Arial" w:hAnsi="Arial" w:cs="Arial"/>
        </w:rPr>
        <w:t xml:space="preserve">v obecné rovině </w:t>
      </w:r>
      <w:r w:rsidR="003164F9" w:rsidRPr="00F15C89">
        <w:rPr>
          <w:rFonts w:ascii="Arial" w:hAnsi="Arial" w:cs="Arial"/>
        </w:rPr>
        <w:t xml:space="preserve">ztotožnil s argumentací </w:t>
      </w:r>
      <w:r w:rsidR="00D35EDB" w:rsidRPr="00F15C89">
        <w:rPr>
          <w:rFonts w:ascii="Arial" w:hAnsi="Arial" w:cs="Arial"/>
        </w:rPr>
        <w:t xml:space="preserve">žalobce, že zásady uvedené v § 6 odst. 4 ZZVZ je třeba aplikovat důsledněji, pokud např. hrozí, že realizací veřejné zakázky dojde k zásahu do </w:t>
      </w:r>
      <w:r w:rsidR="005C108F" w:rsidRPr="00F15C89">
        <w:rPr>
          <w:rFonts w:ascii="Arial" w:hAnsi="Arial" w:cs="Arial"/>
        </w:rPr>
        <w:t xml:space="preserve">životního prostředí. </w:t>
      </w:r>
    </w:p>
    <w:p w14:paraId="264E5935" w14:textId="602E5D67" w:rsidR="00F13BB9" w:rsidRPr="00F15C89" w:rsidRDefault="003270BA" w:rsidP="00F35517">
      <w:pPr>
        <w:ind w:firstLine="360"/>
        <w:jc w:val="both"/>
        <w:rPr>
          <w:rFonts w:ascii="Arial" w:hAnsi="Arial" w:cs="Arial"/>
        </w:rPr>
      </w:pPr>
      <w:r w:rsidRPr="00F15C89">
        <w:rPr>
          <w:rFonts w:ascii="Arial" w:hAnsi="Arial" w:cs="Arial"/>
        </w:rPr>
        <w:t xml:space="preserve">Minimální standardy OVZ cílí na zabezpečení alespoň </w:t>
      </w:r>
      <w:r w:rsidR="005040F7" w:rsidRPr="00F15C89">
        <w:rPr>
          <w:rFonts w:ascii="Arial" w:hAnsi="Arial" w:cs="Arial"/>
        </w:rPr>
        <w:t xml:space="preserve">nejnižší vhodné míry </w:t>
      </w:r>
      <w:r w:rsidR="00780678" w:rsidRPr="00F15C89">
        <w:rPr>
          <w:rFonts w:ascii="Arial" w:hAnsi="Arial" w:cs="Arial"/>
        </w:rPr>
        <w:t>environmentálních a sociálních aspektů</w:t>
      </w:r>
      <w:r w:rsidR="005040F7" w:rsidRPr="00F15C89">
        <w:rPr>
          <w:rFonts w:ascii="Arial" w:hAnsi="Arial" w:cs="Arial"/>
        </w:rPr>
        <w:t xml:space="preserve">. </w:t>
      </w:r>
      <w:r w:rsidR="00F13BB9" w:rsidRPr="00F15C89">
        <w:rPr>
          <w:rFonts w:ascii="Arial" w:hAnsi="Arial" w:cs="Arial"/>
        </w:rPr>
        <w:t xml:space="preserve">Vybrané předměty plnění pro zpracování první sady Minimálních standardů OVZ </w:t>
      </w:r>
      <w:r w:rsidR="00557844" w:rsidRPr="00F15C89">
        <w:rPr>
          <w:rFonts w:ascii="Arial" w:hAnsi="Arial" w:cs="Arial"/>
        </w:rPr>
        <w:t>byly vyhodnoceny jako</w:t>
      </w:r>
      <w:r w:rsidR="00F13BB9" w:rsidRPr="00F15C89">
        <w:rPr>
          <w:rFonts w:ascii="Arial" w:hAnsi="Arial" w:cs="Arial"/>
        </w:rPr>
        <w:t xml:space="preserve"> vhodné pro </w:t>
      </w:r>
      <w:r w:rsidR="00B33B63" w:rsidRPr="00F15C89">
        <w:rPr>
          <w:rFonts w:ascii="Arial" w:hAnsi="Arial" w:cs="Arial"/>
        </w:rPr>
        <w:t xml:space="preserve">dodržování </w:t>
      </w:r>
      <w:r w:rsidR="00F13BB9" w:rsidRPr="00F15C89">
        <w:rPr>
          <w:rFonts w:ascii="Arial" w:hAnsi="Arial" w:cs="Arial"/>
        </w:rPr>
        <w:t xml:space="preserve">zásady environmentálně a sociálně odpovědného, a to </w:t>
      </w:r>
      <w:r w:rsidR="007517B7" w:rsidRPr="00F15C89">
        <w:rPr>
          <w:rFonts w:ascii="Arial" w:hAnsi="Arial" w:cs="Arial"/>
        </w:rPr>
        <w:t xml:space="preserve">přinejmenším </w:t>
      </w:r>
      <w:r w:rsidR="00F13BB9" w:rsidRPr="00F15C89">
        <w:rPr>
          <w:rFonts w:ascii="Arial" w:hAnsi="Arial" w:cs="Arial"/>
        </w:rPr>
        <w:t>v minimální míře</w:t>
      </w:r>
      <w:r w:rsidR="00593FE6" w:rsidRPr="00F15C89">
        <w:rPr>
          <w:rFonts w:ascii="Arial" w:hAnsi="Arial" w:cs="Arial"/>
        </w:rPr>
        <w:t xml:space="preserve"> stanovené standardy</w:t>
      </w:r>
      <w:r w:rsidR="00F13BB9" w:rsidRPr="00F15C89">
        <w:rPr>
          <w:rFonts w:ascii="Arial" w:hAnsi="Arial" w:cs="Arial"/>
        </w:rPr>
        <w:t xml:space="preserve">. Zadavatel při jejich uvedení do praxe v konkrétní zakázce však nadále v souladu </w:t>
      </w:r>
      <w:r w:rsidR="00477383" w:rsidRPr="00F15C89">
        <w:rPr>
          <w:rFonts w:ascii="Arial" w:hAnsi="Arial" w:cs="Arial"/>
        </w:rPr>
        <w:t>s</w:t>
      </w:r>
      <w:r w:rsidR="00477383">
        <w:rPr>
          <w:rFonts w:ascii="Arial" w:hAnsi="Arial" w:cs="Arial"/>
        </w:rPr>
        <w:t> </w:t>
      </w:r>
      <w:r w:rsidR="00F13BB9" w:rsidRPr="00F15C89">
        <w:rPr>
          <w:rFonts w:ascii="Arial" w:hAnsi="Arial" w:cs="Arial"/>
        </w:rPr>
        <w:t xml:space="preserve">§ 6 odst. 4 ZZVZ posuzuje (objektivně a odůvodnitelně) jejich vhodnost ve vztahu k dalším atributům povahy a smyslu veřejné zakázky (např. délce smluvního vztahu apod.). </w:t>
      </w:r>
      <w:r w:rsidR="002C789B" w:rsidRPr="00F15C89">
        <w:rPr>
          <w:rFonts w:ascii="Arial" w:hAnsi="Arial" w:cs="Arial"/>
        </w:rPr>
        <w:t xml:space="preserve">Navíc je třeba zdůraznit, že je </w:t>
      </w:r>
      <w:r w:rsidR="00884E0D" w:rsidRPr="00F15C89">
        <w:rPr>
          <w:rFonts w:ascii="Arial" w:hAnsi="Arial" w:cs="Arial"/>
        </w:rPr>
        <w:t xml:space="preserve">v souladu s Národní strategií veřejného zadávání </w:t>
      </w:r>
      <w:r w:rsidR="002C789B" w:rsidRPr="00F15C89">
        <w:rPr>
          <w:rFonts w:ascii="Arial" w:hAnsi="Arial" w:cs="Arial"/>
        </w:rPr>
        <w:t xml:space="preserve">žádoucí, aby uplatnil </w:t>
      </w:r>
      <w:r w:rsidR="00477383" w:rsidRPr="00F15C89">
        <w:rPr>
          <w:rFonts w:ascii="Arial" w:hAnsi="Arial" w:cs="Arial"/>
        </w:rPr>
        <w:t>i</w:t>
      </w:r>
      <w:r w:rsidR="00477383">
        <w:rPr>
          <w:rFonts w:ascii="Arial" w:hAnsi="Arial" w:cs="Arial"/>
        </w:rPr>
        <w:t> </w:t>
      </w:r>
      <w:r w:rsidR="009B215F" w:rsidRPr="00F15C89">
        <w:rPr>
          <w:rFonts w:ascii="Arial" w:hAnsi="Arial" w:cs="Arial"/>
        </w:rPr>
        <w:t>jiné</w:t>
      </w:r>
      <w:r w:rsidR="00877D52" w:rsidRPr="00F15C89">
        <w:rPr>
          <w:rFonts w:ascii="Arial" w:hAnsi="Arial" w:cs="Arial"/>
        </w:rPr>
        <w:t xml:space="preserve"> než Minimálními standardy OVZ upravené</w:t>
      </w:r>
      <w:r w:rsidR="009B215F" w:rsidRPr="00F15C89">
        <w:rPr>
          <w:rFonts w:ascii="Arial" w:hAnsi="Arial" w:cs="Arial"/>
        </w:rPr>
        <w:t xml:space="preserve"> </w:t>
      </w:r>
      <w:r w:rsidR="00016A7F" w:rsidRPr="00F15C89">
        <w:rPr>
          <w:rFonts w:ascii="Arial" w:hAnsi="Arial" w:cs="Arial"/>
        </w:rPr>
        <w:t xml:space="preserve">environmentální či sociální </w:t>
      </w:r>
      <w:r w:rsidR="002C789B" w:rsidRPr="00F15C89">
        <w:rPr>
          <w:rFonts w:ascii="Arial" w:hAnsi="Arial" w:cs="Arial"/>
        </w:rPr>
        <w:t>aspekt</w:t>
      </w:r>
      <w:r w:rsidR="00877D52" w:rsidRPr="00F15C89">
        <w:rPr>
          <w:rFonts w:ascii="Arial" w:hAnsi="Arial" w:cs="Arial"/>
        </w:rPr>
        <w:t>y</w:t>
      </w:r>
      <w:r w:rsidR="003C2166" w:rsidRPr="00F15C89">
        <w:rPr>
          <w:rFonts w:ascii="Arial" w:hAnsi="Arial" w:cs="Arial"/>
        </w:rPr>
        <w:t>, případně ty, které jsou předmětem standardů uplatnil v jejich komplexnějším</w:t>
      </w:r>
      <w:r w:rsidR="002C789B" w:rsidRPr="00F15C89">
        <w:rPr>
          <w:rFonts w:ascii="Arial" w:hAnsi="Arial" w:cs="Arial"/>
        </w:rPr>
        <w:t xml:space="preserve"> </w:t>
      </w:r>
      <w:r w:rsidR="003C2166" w:rsidRPr="00F15C89">
        <w:rPr>
          <w:rFonts w:ascii="Arial" w:hAnsi="Arial" w:cs="Arial"/>
        </w:rPr>
        <w:t xml:space="preserve">pojetí (za předpokladu, že to </w:t>
      </w:r>
      <w:r w:rsidR="00B22901" w:rsidRPr="00F15C89">
        <w:rPr>
          <w:rFonts w:ascii="Arial" w:hAnsi="Arial" w:cs="Arial"/>
        </w:rPr>
        <w:t xml:space="preserve">bude považovat </w:t>
      </w:r>
      <w:r w:rsidR="003C2166" w:rsidRPr="00F15C89">
        <w:rPr>
          <w:rFonts w:ascii="Arial" w:hAnsi="Arial" w:cs="Arial"/>
        </w:rPr>
        <w:t xml:space="preserve">s ohledem na povahu a </w:t>
      </w:r>
      <w:r w:rsidR="00B22901" w:rsidRPr="00F15C89">
        <w:rPr>
          <w:rFonts w:ascii="Arial" w:hAnsi="Arial" w:cs="Arial"/>
        </w:rPr>
        <w:t xml:space="preserve">smysl veřejné zakázky za vhodné). </w:t>
      </w:r>
      <w:r w:rsidR="002C789B" w:rsidRPr="00F15C89">
        <w:rPr>
          <w:rFonts w:ascii="Arial" w:hAnsi="Arial" w:cs="Arial"/>
        </w:rPr>
        <w:t xml:space="preserve"> </w:t>
      </w:r>
    </w:p>
    <w:p w14:paraId="400E8895" w14:textId="7D2A6074" w:rsidR="00F13BB9" w:rsidRPr="00F15C89" w:rsidRDefault="00F13BB9" w:rsidP="00F35517">
      <w:pPr>
        <w:spacing w:before="120" w:after="120" w:line="240" w:lineRule="auto"/>
        <w:ind w:firstLine="359"/>
        <w:jc w:val="both"/>
        <w:rPr>
          <w:rFonts w:ascii="Arial" w:hAnsi="Arial" w:cs="Arial"/>
        </w:rPr>
      </w:pPr>
      <w:r w:rsidRPr="00F15C89">
        <w:rPr>
          <w:rFonts w:ascii="Arial" w:hAnsi="Arial" w:cs="Arial"/>
        </w:rPr>
        <w:t xml:space="preserve">Minimální standardy OVZ byly </w:t>
      </w:r>
      <w:r w:rsidR="00395F35" w:rsidRPr="00F15C89">
        <w:rPr>
          <w:rFonts w:ascii="Arial" w:hAnsi="Arial" w:cs="Arial"/>
        </w:rPr>
        <w:t xml:space="preserve">při přípravě </w:t>
      </w:r>
      <w:r w:rsidRPr="00F15C89">
        <w:rPr>
          <w:rFonts w:ascii="Arial" w:hAnsi="Arial" w:cs="Arial"/>
        </w:rPr>
        <w:t>široce konzultovány s odborníky a</w:t>
      </w:r>
      <w:r w:rsidR="00EB2D29" w:rsidRPr="00F15C89">
        <w:rPr>
          <w:rFonts w:ascii="Arial" w:hAnsi="Arial" w:cs="Arial"/>
        </w:rPr>
        <w:t> </w:t>
      </w:r>
      <w:r w:rsidRPr="00F15C89">
        <w:rPr>
          <w:rFonts w:ascii="Arial" w:hAnsi="Arial" w:cs="Arial"/>
        </w:rPr>
        <w:t xml:space="preserve">ověřeny </w:t>
      </w:r>
      <w:r w:rsidR="00D70BA4">
        <w:rPr>
          <w:rFonts w:ascii="Arial" w:hAnsi="Arial" w:cs="Arial"/>
        </w:rPr>
        <w:br/>
      </w:r>
      <w:r w:rsidRPr="00F15C89">
        <w:rPr>
          <w:rFonts w:ascii="Arial" w:hAnsi="Arial" w:cs="Arial"/>
        </w:rPr>
        <w:t>se zadavateli i zástupci dodavatelů. Jednotlivé návrhy byly postupně představovány a</w:t>
      </w:r>
      <w:r w:rsidR="00686997" w:rsidRPr="00F15C89">
        <w:rPr>
          <w:rFonts w:ascii="Arial" w:hAnsi="Arial" w:cs="Arial"/>
        </w:rPr>
        <w:t> </w:t>
      </w:r>
      <w:r w:rsidRPr="00F15C89">
        <w:rPr>
          <w:rFonts w:ascii="Arial" w:hAnsi="Arial" w:cs="Arial"/>
        </w:rPr>
        <w:t>diskutovány na odborných fórech, seminářích, tematických setkáních a</w:t>
      </w:r>
      <w:r w:rsidR="00686997" w:rsidRPr="00F15C89">
        <w:rPr>
          <w:rFonts w:ascii="Arial" w:hAnsi="Arial" w:cs="Arial"/>
        </w:rPr>
        <w:t> </w:t>
      </w:r>
      <w:r w:rsidRPr="00F15C89">
        <w:rPr>
          <w:rFonts w:ascii="Arial" w:hAnsi="Arial" w:cs="Arial"/>
        </w:rPr>
        <w:t xml:space="preserve">konferencích, </w:t>
      </w:r>
      <w:r w:rsidR="00477383" w:rsidRPr="00F15C89">
        <w:rPr>
          <w:rFonts w:ascii="Arial" w:hAnsi="Arial" w:cs="Arial"/>
        </w:rPr>
        <w:t>na</w:t>
      </w:r>
      <w:r w:rsidR="00477383">
        <w:rPr>
          <w:rFonts w:ascii="Arial" w:hAnsi="Arial" w:cs="Arial"/>
        </w:rPr>
        <w:t> </w:t>
      </w:r>
      <w:r w:rsidRPr="00F15C89">
        <w:rPr>
          <w:rFonts w:ascii="Arial" w:hAnsi="Arial" w:cs="Arial"/>
        </w:rPr>
        <w:t xml:space="preserve">Platformě veřejného zadávání, v pracovních skupinách Mezirezortní pracovní skupiny </w:t>
      </w:r>
      <w:r w:rsidR="000E7F42">
        <w:rPr>
          <w:rFonts w:ascii="Arial" w:hAnsi="Arial" w:cs="Arial"/>
        </w:rPr>
        <w:br/>
      </w:r>
      <w:r w:rsidRPr="00F15C89">
        <w:rPr>
          <w:rFonts w:ascii="Arial" w:hAnsi="Arial" w:cs="Arial"/>
        </w:rPr>
        <w:t xml:space="preserve">pro problematiku institucionálního stravování (MPS STRAVA) a dalších. Návrhy byly diskutovány i se zástupci relevantních dodavatelů, jejich asociací a sdružení (např. kulaté stoly s dodavateli potravin a zástupci producentů, </w:t>
      </w:r>
      <w:r w:rsidR="00395F35" w:rsidRPr="00F15C89">
        <w:rPr>
          <w:rFonts w:ascii="Arial" w:hAnsi="Arial" w:cs="Arial"/>
        </w:rPr>
        <w:t>kulat</w:t>
      </w:r>
      <w:r w:rsidR="002A7DBC" w:rsidRPr="00F15C89">
        <w:rPr>
          <w:rFonts w:ascii="Arial" w:hAnsi="Arial" w:cs="Arial"/>
        </w:rPr>
        <w:t>é</w:t>
      </w:r>
      <w:r w:rsidR="00395F35" w:rsidRPr="00F15C89">
        <w:rPr>
          <w:rFonts w:ascii="Arial" w:hAnsi="Arial" w:cs="Arial"/>
        </w:rPr>
        <w:t xml:space="preserve"> st</w:t>
      </w:r>
      <w:r w:rsidR="002A7DBC" w:rsidRPr="00F15C89">
        <w:rPr>
          <w:rFonts w:ascii="Arial" w:hAnsi="Arial" w:cs="Arial"/>
        </w:rPr>
        <w:t>o</w:t>
      </w:r>
      <w:r w:rsidR="00395F35" w:rsidRPr="00F15C89">
        <w:rPr>
          <w:rFonts w:ascii="Arial" w:hAnsi="Arial" w:cs="Arial"/>
        </w:rPr>
        <w:t>l</w:t>
      </w:r>
      <w:r w:rsidR="002A7DBC" w:rsidRPr="00F15C89">
        <w:rPr>
          <w:rFonts w:ascii="Arial" w:hAnsi="Arial" w:cs="Arial"/>
        </w:rPr>
        <w:t>y</w:t>
      </w:r>
      <w:r w:rsidR="00395F35" w:rsidRPr="00F15C89">
        <w:rPr>
          <w:rFonts w:ascii="Arial" w:hAnsi="Arial" w:cs="Arial"/>
        </w:rPr>
        <w:t xml:space="preserve"> k ostraze a úklidu, </w:t>
      </w:r>
      <w:r w:rsidRPr="00F15C89">
        <w:rPr>
          <w:rFonts w:ascii="Arial" w:hAnsi="Arial" w:cs="Arial"/>
        </w:rPr>
        <w:t>prezentace návrhů na semináři Českého klubu bezpečnostních služeb apod.). Návrhy Minimálních standardů OVZ byly v červenci 2024</w:t>
      </w:r>
      <w:r w:rsidR="00B61B8A">
        <w:rPr>
          <w:rFonts w:ascii="Arial" w:hAnsi="Arial" w:cs="Arial"/>
        </w:rPr>
        <w:t xml:space="preserve"> a v dubnu 2025 </w:t>
      </w:r>
      <w:r w:rsidRPr="00F15C89">
        <w:rPr>
          <w:rFonts w:ascii="Arial" w:hAnsi="Arial" w:cs="Arial"/>
        </w:rPr>
        <w:t xml:space="preserve">představeny Řídicímu výboru Strategie, spolu </w:t>
      </w:r>
      <w:r w:rsidR="00B61B8A">
        <w:rPr>
          <w:rFonts w:ascii="Arial" w:hAnsi="Arial" w:cs="Arial"/>
        </w:rPr>
        <w:br/>
      </w:r>
      <w:r w:rsidRPr="00F15C89">
        <w:rPr>
          <w:rFonts w:ascii="Arial" w:hAnsi="Arial" w:cs="Arial"/>
        </w:rPr>
        <w:t>s</w:t>
      </w:r>
      <w:r w:rsidR="0068269A">
        <w:rPr>
          <w:rFonts w:ascii="Arial" w:hAnsi="Arial" w:cs="Arial"/>
        </w:rPr>
        <w:t>e</w:t>
      </w:r>
      <w:r w:rsidRPr="00F15C89">
        <w:rPr>
          <w:rFonts w:ascii="Arial" w:hAnsi="Arial" w:cs="Arial"/>
        </w:rPr>
        <w:t xml:space="preserve"> žádostí o připomínky, které byly následně zapracovány či vysvětleny a členové Řídicího výboru o tom byli informováni. Návrhy standardů byly také postupně ve formě tezí a následně samotných návrhů</w:t>
      </w:r>
      <w:r w:rsidR="00F15C89">
        <w:rPr>
          <w:rFonts w:ascii="Arial" w:hAnsi="Arial" w:cs="Arial"/>
        </w:rPr>
        <w:t xml:space="preserve"> (</w:t>
      </w:r>
      <w:r w:rsidRPr="00F15C89">
        <w:rPr>
          <w:rFonts w:ascii="Arial" w:hAnsi="Arial" w:cs="Arial"/>
        </w:rPr>
        <w:t xml:space="preserve">včetně </w:t>
      </w:r>
      <w:r w:rsidR="00F15C89">
        <w:rPr>
          <w:rFonts w:ascii="Arial" w:hAnsi="Arial" w:cs="Arial"/>
        </w:rPr>
        <w:t xml:space="preserve">doporučených </w:t>
      </w:r>
      <w:r w:rsidRPr="00F15C89">
        <w:rPr>
          <w:rFonts w:ascii="Arial" w:hAnsi="Arial" w:cs="Arial"/>
        </w:rPr>
        <w:t>textací do zadávací dokumentace a smlouvy</w:t>
      </w:r>
      <w:r w:rsidR="00F15C89">
        <w:rPr>
          <w:rFonts w:ascii="Arial" w:hAnsi="Arial" w:cs="Arial"/>
        </w:rPr>
        <w:t>)</w:t>
      </w:r>
      <w:r w:rsidRPr="00F15C89">
        <w:rPr>
          <w:rFonts w:ascii="Arial" w:hAnsi="Arial" w:cs="Arial"/>
        </w:rPr>
        <w:t xml:space="preserve"> zveřejněny na Portále o veřejných zakázkách.</w:t>
      </w:r>
    </w:p>
    <w:p w14:paraId="1CC883B3" w14:textId="77777777" w:rsidR="005017E7" w:rsidRPr="00F15C89" w:rsidRDefault="005017E7" w:rsidP="00EA784C">
      <w:pPr>
        <w:spacing w:before="120" w:after="120" w:line="240" w:lineRule="auto"/>
        <w:jc w:val="both"/>
        <w:rPr>
          <w:rFonts w:ascii="Arial" w:hAnsi="Arial" w:cs="Arial"/>
        </w:rPr>
      </w:pPr>
    </w:p>
    <w:p w14:paraId="22399EDD" w14:textId="77777777" w:rsidR="002A326F" w:rsidRPr="00F15C89" w:rsidRDefault="002A326F" w:rsidP="00EA784C">
      <w:pPr>
        <w:spacing w:before="120" w:after="120" w:line="240" w:lineRule="auto"/>
        <w:jc w:val="both"/>
        <w:rPr>
          <w:rFonts w:ascii="Arial" w:hAnsi="Arial" w:cs="Arial"/>
        </w:rPr>
      </w:pPr>
    </w:p>
    <w:p w14:paraId="7B82015A" w14:textId="77777777" w:rsidR="002A326F" w:rsidRPr="00F15C89" w:rsidRDefault="002A326F" w:rsidP="00EA784C">
      <w:pPr>
        <w:spacing w:before="120" w:after="120" w:line="240" w:lineRule="auto"/>
        <w:jc w:val="both"/>
        <w:rPr>
          <w:rFonts w:ascii="Arial" w:hAnsi="Arial" w:cs="Arial"/>
        </w:rPr>
      </w:pPr>
    </w:p>
    <w:p w14:paraId="11ECC200" w14:textId="254201F0" w:rsidR="00DE3FCF" w:rsidRDefault="00DE3FCF">
      <w:pPr>
        <w:rPr>
          <w:rFonts w:ascii="Arial" w:hAnsi="Arial" w:cs="Arial"/>
        </w:rPr>
      </w:pPr>
      <w:r>
        <w:rPr>
          <w:rFonts w:ascii="Arial" w:hAnsi="Arial" w:cs="Arial"/>
        </w:rPr>
        <w:br w:type="page"/>
      </w:r>
    </w:p>
    <w:p w14:paraId="705117FF" w14:textId="77777777" w:rsidR="002A326F" w:rsidRPr="00F15C89" w:rsidRDefault="002A326F" w:rsidP="00EA784C">
      <w:pPr>
        <w:spacing w:before="120" w:after="120" w:line="240" w:lineRule="auto"/>
        <w:jc w:val="both"/>
        <w:rPr>
          <w:rFonts w:ascii="Arial" w:hAnsi="Arial" w:cs="Arial"/>
        </w:rPr>
      </w:pPr>
    </w:p>
    <w:p w14:paraId="6D5737F9" w14:textId="77777777" w:rsidR="009973B0" w:rsidRPr="00F15C89" w:rsidRDefault="009973B0" w:rsidP="00EA784C">
      <w:pPr>
        <w:spacing w:before="120" w:after="120" w:line="240" w:lineRule="auto"/>
        <w:rPr>
          <w:rFonts w:ascii="Arial" w:hAnsi="Arial" w:cs="Arial"/>
        </w:rPr>
      </w:pPr>
    </w:p>
    <w:p w14:paraId="3737BC02" w14:textId="577CE482" w:rsidR="005017E7" w:rsidRPr="00F15C89" w:rsidRDefault="00A31CE0" w:rsidP="00EA784C">
      <w:pPr>
        <w:spacing w:before="120" w:after="120" w:line="240" w:lineRule="auto"/>
        <w:rPr>
          <w:rFonts w:ascii="Arial" w:hAnsi="Arial" w:cs="Arial"/>
        </w:rPr>
      </w:pPr>
      <w:r w:rsidRPr="00F15C89">
        <w:rPr>
          <w:rFonts w:ascii="Arial" w:hAnsi="Arial" w:cs="Arial"/>
        </w:rPr>
        <w:t>O</w:t>
      </w:r>
      <w:r w:rsidR="00A3147A" w:rsidRPr="00F15C89">
        <w:rPr>
          <w:rFonts w:ascii="Arial" w:hAnsi="Arial" w:cs="Arial"/>
        </w:rPr>
        <w:t>bsah</w:t>
      </w:r>
      <w:r w:rsidR="00B46EEA" w:rsidRPr="00F15C89">
        <w:rPr>
          <w:rFonts w:ascii="Arial" w:hAnsi="Arial" w:cs="Arial"/>
        </w:rPr>
        <w:t>:</w:t>
      </w:r>
    </w:p>
    <w:p w14:paraId="0F29E9AA" w14:textId="32BB432C" w:rsidR="00D30FF0" w:rsidRPr="00F15C89" w:rsidRDefault="00E20FAE">
      <w:pPr>
        <w:pStyle w:val="Obsah1"/>
        <w:tabs>
          <w:tab w:val="right" w:leader="dot" w:pos="9062"/>
        </w:tabs>
        <w:rPr>
          <w:rFonts w:eastAsiaTheme="minorEastAsia" w:cs="Arial"/>
          <w:noProof/>
          <w:kern w:val="2"/>
          <w:sz w:val="22"/>
          <w:lang w:eastAsia="cs-CZ"/>
          <w14:ligatures w14:val="standardContextual"/>
        </w:rPr>
      </w:pPr>
      <w:r w:rsidRPr="00F15C89">
        <w:rPr>
          <w:rFonts w:cs="Arial"/>
          <w:sz w:val="22"/>
        </w:rPr>
        <w:fldChar w:fldCharType="begin"/>
      </w:r>
      <w:r w:rsidRPr="00F15C89">
        <w:rPr>
          <w:rFonts w:cs="Arial"/>
          <w:sz w:val="22"/>
        </w:rPr>
        <w:instrText xml:space="preserve"> TOC \o "1-1" \h \z \u </w:instrText>
      </w:r>
      <w:r w:rsidRPr="00F15C89">
        <w:rPr>
          <w:rFonts w:cs="Arial"/>
          <w:sz w:val="22"/>
        </w:rPr>
        <w:fldChar w:fldCharType="separate"/>
      </w:r>
      <w:hyperlink w:anchor="_Toc198290964" w:history="1">
        <w:r w:rsidR="00D30FF0" w:rsidRPr="00F15C89">
          <w:rPr>
            <w:rStyle w:val="Hypertextovodkaz"/>
            <w:rFonts w:cs="Arial"/>
            <w:noProof/>
            <w:sz w:val="22"/>
            <w:shd w:val="clear" w:color="auto" w:fill="FFFFFF"/>
          </w:rPr>
          <w:t>Minimální standard OVZ pro dodávky kancelářského papíru</w:t>
        </w:r>
        <w:r w:rsidR="00D30FF0" w:rsidRPr="00F15C89">
          <w:rPr>
            <w:rFonts w:cs="Arial"/>
            <w:noProof/>
            <w:webHidden/>
            <w:sz w:val="22"/>
          </w:rPr>
          <w:tab/>
        </w:r>
        <w:r w:rsidR="00D30FF0" w:rsidRPr="00F15C89">
          <w:rPr>
            <w:rFonts w:cs="Arial"/>
            <w:noProof/>
            <w:webHidden/>
            <w:sz w:val="22"/>
          </w:rPr>
          <w:fldChar w:fldCharType="begin"/>
        </w:r>
        <w:r w:rsidR="00D30FF0" w:rsidRPr="00F15C89">
          <w:rPr>
            <w:rFonts w:cs="Arial"/>
            <w:noProof/>
            <w:webHidden/>
            <w:sz w:val="22"/>
          </w:rPr>
          <w:instrText xml:space="preserve"> PAGEREF _Toc198290964 \h </w:instrText>
        </w:r>
        <w:r w:rsidR="00D30FF0" w:rsidRPr="00F15C89">
          <w:rPr>
            <w:rFonts w:cs="Arial"/>
            <w:noProof/>
            <w:webHidden/>
            <w:sz w:val="22"/>
          </w:rPr>
        </w:r>
        <w:r w:rsidR="00D30FF0" w:rsidRPr="00F15C89">
          <w:rPr>
            <w:rFonts w:cs="Arial"/>
            <w:noProof/>
            <w:webHidden/>
            <w:sz w:val="22"/>
          </w:rPr>
          <w:fldChar w:fldCharType="separate"/>
        </w:r>
        <w:r w:rsidR="00D30FF0" w:rsidRPr="00F15C89">
          <w:rPr>
            <w:rFonts w:cs="Arial"/>
            <w:noProof/>
            <w:webHidden/>
            <w:sz w:val="22"/>
          </w:rPr>
          <w:t>4</w:t>
        </w:r>
        <w:r w:rsidR="00D30FF0" w:rsidRPr="00F15C89">
          <w:rPr>
            <w:rFonts w:cs="Arial"/>
            <w:noProof/>
            <w:webHidden/>
            <w:sz w:val="22"/>
          </w:rPr>
          <w:fldChar w:fldCharType="end"/>
        </w:r>
      </w:hyperlink>
    </w:p>
    <w:p w14:paraId="55F5CC3D" w14:textId="6A7E168F" w:rsidR="00D30FF0" w:rsidRPr="00F15C89" w:rsidRDefault="00000000">
      <w:pPr>
        <w:pStyle w:val="Obsah1"/>
        <w:tabs>
          <w:tab w:val="right" w:leader="dot" w:pos="9062"/>
        </w:tabs>
        <w:rPr>
          <w:rFonts w:eastAsiaTheme="minorEastAsia" w:cs="Arial"/>
          <w:noProof/>
          <w:kern w:val="2"/>
          <w:sz w:val="22"/>
          <w:lang w:eastAsia="cs-CZ"/>
          <w14:ligatures w14:val="standardContextual"/>
        </w:rPr>
      </w:pPr>
      <w:hyperlink w:anchor="_Toc198290965" w:history="1">
        <w:r w:rsidR="00D30FF0" w:rsidRPr="00F15C89">
          <w:rPr>
            <w:rStyle w:val="Hypertextovodkaz"/>
            <w:rFonts w:cs="Arial"/>
            <w:noProof/>
            <w:sz w:val="22"/>
          </w:rPr>
          <w:t>Minimální standardy O</w:t>
        </w:r>
        <w:r w:rsidR="00D30FF0" w:rsidRPr="00F15C89">
          <w:rPr>
            <w:rStyle w:val="Hypertextovodkaz"/>
            <w:rFonts w:cs="Arial"/>
            <w:bCs/>
            <w:noProof/>
            <w:sz w:val="22"/>
          </w:rPr>
          <w:t>VZ pro dodávky potravin</w:t>
        </w:r>
        <w:r w:rsidR="00D30FF0" w:rsidRPr="00F15C89">
          <w:rPr>
            <w:rFonts w:cs="Arial"/>
            <w:noProof/>
            <w:webHidden/>
            <w:sz w:val="22"/>
          </w:rPr>
          <w:tab/>
        </w:r>
        <w:r w:rsidR="00D30FF0" w:rsidRPr="00F15C89">
          <w:rPr>
            <w:rFonts w:cs="Arial"/>
            <w:noProof/>
            <w:webHidden/>
            <w:sz w:val="22"/>
          </w:rPr>
          <w:fldChar w:fldCharType="begin"/>
        </w:r>
        <w:r w:rsidR="00D30FF0" w:rsidRPr="00F15C89">
          <w:rPr>
            <w:rFonts w:cs="Arial"/>
            <w:noProof/>
            <w:webHidden/>
            <w:sz w:val="22"/>
          </w:rPr>
          <w:instrText xml:space="preserve"> PAGEREF _Toc198290965 \h </w:instrText>
        </w:r>
        <w:r w:rsidR="00D30FF0" w:rsidRPr="00F15C89">
          <w:rPr>
            <w:rFonts w:cs="Arial"/>
            <w:noProof/>
            <w:webHidden/>
            <w:sz w:val="22"/>
          </w:rPr>
        </w:r>
        <w:r w:rsidR="00D30FF0" w:rsidRPr="00F15C89">
          <w:rPr>
            <w:rFonts w:cs="Arial"/>
            <w:noProof/>
            <w:webHidden/>
            <w:sz w:val="22"/>
          </w:rPr>
          <w:fldChar w:fldCharType="separate"/>
        </w:r>
        <w:r w:rsidR="00D30FF0" w:rsidRPr="00F15C89">
          <w:rPr>
            <w:rFonts w:cs="Arial"/>
            <w:noProof/>
            <w:webHidden/>
            <w:sz w:val="22"/>
          </w:rPr>
          <w:t>5</w:t>
        </w:r>
        <w:r w:rsidR="00D30FF0" w:rsidRPr="00F15C89">
          <w:rPr>
            <w:rFonts w:cs="Arial"/>
            <w:noProof/>
            <w:webHidden/>
            <w:sz w:val="22"/>
          </w:rPr>
          <w:fldChar w:fldCharType="end"/>
        </w:r>
      </w:hyperlink>
    </w:p>
    <w:p w14:paraId="51A923D0" w14:textId="2773E69B" w:rsidR="00D30FF0" w:rsidRPr="00F15C89" w:rsidRDefault="00000000">
      <w:pPr>
        <w:pStyle w:val="Obsah1"/>
        <w:tabs>
          <w:tab w:val="right" w:leader="dot" w:pos="9062"/>
        </w:tabs>
        <w:rPr>
          <w:rFonts w:eastAsiaTheme="minorEastAsia" w:cs="Arial"/>
          <w:noProof/>
          <w:kern w:val="2"/>
          <w:sz w:val="22"/>
          <w:lang w:eastAsia="cs-CZ"/>
          <w14:ligatures w14:val="standardContextual"/>
        </w:rPr>
      </w:pPr>
      <w:hyperlink w:anchor="_Toc198290966" w:history="1">
        <w:r w:rsidR="00D30FF0" w:rsidRPr="00F15C89">
          <w:rPr>
            <w:rStyle w:val="Hypertextovodkaz"/>
            <w:rFonts w:cs="Arial"/>
            <w:noProof/>
            <w:sz w:val="22"/>
            <w:shd w:val="clear" w:color="auto" w:fill="FFFFFF"/>
          </w:rPr>
          <w:t xml:space="preserve">Minimální standardy </w:t>
        </w:r>
        <w:r w:rsidR="00D30FF0" w:rsidRPr="00F15C89">
          <w:rPr>
            <w:rStyle w:val="Hypertextovodkaz"/>
            <w:rFonts w:cs="Arial"/>
            <w:bCs/>
            <w:noProof/>
            <w:sz w:val="22"/>
            <w:shd w:val="clear" w:color="auto" w:fill="FFFFFF"/>
          </w:rPr>
          <w:t>OVZ pro zajištění služeb fyzické ostrahy administrativních budov</w:t>
        </w:r>
        <w:r w:rsidR="00D30FF0" w:rsidRPr="00F15C89">
          <w:rPr>
            <w:rFonts w:cs="Arial"/>
            <w:noProof/>
            <w:webHidden/>
            <w:sz w:val="22"/>
          </w:rPr>
          <w:tab/>
        </w:r>
        <w:r w:rsidR="00D30FF0" w:rsidRPr="00F15C89">
          <w:rPr>
            <w:rFonts w:cs="Arial"/>
            <w:noProof/>
            <w:webHidden/>
            <w:sz w:val="22"/>
          </w:rPr>
          <w:fldChar w:fldCharType="begin"/>
        </w:r>
        <w:r w:rsidR="00D30FF0" w:rsidRPr="00F15C89">
          <w:rPr>
            <w:rFonts w:cs="Arial"/>
            <w:noProof/>
            <w:webHidden/>
            <w:sz w:val="22"/>
          </w:rPr>
          <w:instrText xml:space="preserve"> PAGEREF _Toc198290966 \h </w:instrText>
        </w:r>
        <w:r w:rsidR="00D30FF0" w:rsidRPr="00F15C89">
          <w:rPr>
            <w:rFonts w:cs="Arial"/>
            <w:noProof/>
            <w:webHidden/>
            <w:sz w:val="22"/>
          </w:rPr>
        </w:r>
        <w:r w:rsidR="00D30FF0" w:rsidRPr="00F15C89">
          <w:rPr>
            <w:rFonts w:cs="Arial"/>
            <w:noProof/>
            <w:webHidden/>
            <w:sz w:val="22"/>
          </w:rPr>
          <w:fldChar w:fldCharType="separate"/>
        </w:r>
        <w:r w:rsidR="00D30FF0" w:rsidRPr="00F15C89">
          <w:rPr>
            <w:rFonts w:cs="Arial"/>
            <w:noProof/>
            <w:webHidden/>
            <w:sz w:val="22"/>
          </w:rPr>
          <w:t>12</w:t>
        </w:r>
        <w:r w:rsidR="00D30FF0" w:rsidRPr="00F15C89">
          <w:rPr>
            <w:rFonts w:cs="Arial"/>
            <w:noProof/>
            <w:webHidden/>
            <w:sz w:val="22"/>
          </w:rPr>
          <w:fldChar w:fldCharType="end"/>
        </w:r>
      </w:hyperlink>
    </w:p>
    <w:p w14:paraId="60CFD2BA" w14:textId="13BBFE9E" w:rsidR="00D30FF0" w:rsidRPr="00F15C89" w:rsidRDefault="00000000">
      <w:pPr>
        <w:pStyle w:val="Obsah1"/>
        <w:tabs>
          <w:tab w:val="right" w:leader="dot" w:pos="9062"/>
        </w:tabs>
        <w:rPr>
          <w:rFonts w:eastAsiaTheme="minorEastAsia" w:cs="Arial"/>
          <w:noProof/>
          <w:kern w:val="2"/>
          <w:sz w:val="22"/>
          <w:lang w:eastAsia="cs-CZ"/>
          <w14:ligatures w14:val="standardContextual"/>
        </w:rPr>
      </w:pPr>
      <w:hyperlink w:anchor="_Toc198290967" w:history="1">
        <w:r w:rsidR="00D30FF0" w:rsidRPr="00F15C89">
          <w:rPr>
            <w:rStyle w:val="Hypertextovodkaz"/>
            <w:rFonts w:cs="Arial"/>
            <w:noProof/>
            <w:sz w:val="22"/>
            <w:shd w:val="clear" w:color="auto" w:fill="FFFFFF"/>
          </w:rPr>
          <w:t>Minimální standardy OVZ pro zajištění stravovacích služeb</w:t>
        </w:r>
        <w:r w:rsidR="00D30FF0" w:rsidRPr="00F15C89">
          <w:rPr>
            <w:rFonts w:cs="Arial"/>
            <w:noProof/>
            <w:webHidden/>
            <w:sz w:val="22"/>
          </w:rPr>
          <w:tab/>
        </w:r>
        <w:r w:rsidR="00D30FF0" w:rsidRPr="00F15C89">
          <w:rPr>
            <w:rFonts w:cs="Arial"/>
            <w:noProof/>
            <w:webHidden/>
            <w:sz w:val="22"/>
          </w:rPr>
          <w:fldChar w:fldCharType="begin"/>
        </w:r>
        <w:r w:rsidR="00D30FF0" w:rsidRPr="00F15C89">
          <w:rPr>
            <w:rFonts w:cs="Arial"/>
            <w:noProof/>
            <w:webHidden/>
            <w:sz w:val="22"/>
          </w:rPr>
          <w:instrText xml:space="preserve"> PAGEREF _Toc198290967 \h </w:instrText>
        </w:r>
        <w:r w:rsidR="00D30FF0" w:rsidRPr="00F15C89">
          <w:rPr>
            <w:rFonts w:cs="Arial"/>
            <w:noProof/>
            <w:webHidden/>
            <w:sz w:val="22"/>
          </w:rPr>
        </w:r>
        <w:r w:rsidR="00D30FF0" w:rsidRPr="00F15C89">
          <w:rPr>
            <w:rFonts w:cs="Arial"/>
            <w:noProof/>
            <w:webHidden/>
            <w:sz w:val="22"/>
          </w:rPr>
          <w:fldChar w:fldCharType="separate"/>
        </w:r>
        <w:r w:rsidR="00D30FF0" w:rsidRPr="00F15C89">
          <w:rPr>
            <w:rFonts w:cs="Arial"/>
            <w:noProof/>
            <w:webHidden/>
            <w:sz w:val="22"/>
          </w:rPr>
          <w:t>14</w:t>
        </w:r>
        <w:r w:rsidR="00D30FF0" w:rsidRPr="00F15C89">
          <w:rPr>
            <w:rFonts w:cs="Arial"/>
            <w:noProof/>
            <w:webHidden/>
            <w:sz w:val="22"/>
          </w:rPr>
          <w:fldChar w:fldCharType="end"/>
        </w:r>
      </w:hyperlink>
    </w:p>
    <w:p w14:paraId="1FD4268E" w14:textId="6AA5214F" w:rsidR="00D30FF0" w:rsidRPr="00F15C89" w:rsidRDefault="00000000">
      <w:pPr>
        <w:pStyle w:val="Obsah1"/>
        <w:tabs>
          <w:tab w:val="right" w:leader="dot" w:pos="9062"/>
        </w:tabs>
        <w:rPr>
          <w:rFonts w:eastAsiaTheme="minorEastAsia" w:cs="Arial"/>
          <w:noProof/>
          <w:kern w:val="2"/>
          <w:sz w:val="22"/>
          <w:lang w:eastAsia="cs-CZ"/>
          <w14:ligatures w14:val="standardContextual"/>
        </w:rPr>
      </w:pPr>
      <w:hyperlink w:anchor="_Toc198290968" w:history="1">
        <w:r w:rsidR="00D30FF0" w:rsidRPr="00F15C89">
          <w:rPr>
            <w:rStyle w:val="Hypertextovodkaz"/>
            <w:rFonts w:cs="Arial"/>
            <w:noProof/>
            <w:sz w:val="22"/>
            <w:shd w:val="clear" w:color="auto" w:fill="FFFFFF"/>
          </w:rPr>
          <w:t xml:space="preserve">Minimální standardy </w:t>
        </w:r>
        <w:r w:rsidR="00D30FF0" w:rsidRPr="00F15C89">
          <w:rPr>
            <w:rStyle w:val="Hypertextovodkaz"/>
            <w:rFonts w:cs="Arial"/>
            <w:bCs/>
            <w:noProof/>
            <w:sz w:val="22"/>
            <w:shd w:val="clear" w:color="auto" w:fill="FFFFFF"/>
          </w:rPr>
          <w:t>OVZ</w:t>
        </w:r>
        <w:r w:rsidR="00D30FF0" w:rsidRPr="00F15C89">
          <w:rPr>
            <w:rStyle w:val="Hypertextovodkaz"/>
            <w:rFonts w:cs="Arial"/>
            <w:noProof/>
            <w:sz w:val="22"/>
            <w:shd w:val="clear" w:color="auto" w:fill="FFFFFF"/>
          </w:rPr>
          <w:t xml:space="preserve"> </w:t>
        </w:r>
        <w:r w:rsidR="00D30FF0" w:rsidRPr="00F15C89">
          <w:rPr>
            <w:rStyle w:val="Hypertextovodkaz"/>
            <w:rFonts w:cs="Arial"/>
            <w:bCs/>
            <w:noProof/>
            <w:sz w:val="22"/>
            <w:shd w:val="clear" w:color="auto" w:fill="FFFFFF"/>
          </w:rPr>
          <w:t>pro zajištění úklidových služeb administrativních budov</w:t>
        </w:r>
        <w:r w:rsidR="00D30FF0" w:rsidRPr="00F15C89">
          <w:rPr>
            <w:rFonts w:cs="Arial"/>
            <w:noProof/>
            <w:webHidden/>
            <w:sz w:val="22"/>
          </w:rPr>
          <w:tab/>
        </w:r>
        <w:r w:rsidR="00D30FF0" w:rsidRPr="00F15C89">
          <w:rPr>
            <w:rFonts w:cs="Arial"/>
            <w:noProof/>
            <w:webHidden/>
            <w:sz w:val="22"/>
          </w:rPr>
          <w:fldChar w:fldCharType="begin"/>
        </w:r>
        <w:r w:rsidR="00D30FF0" w:rsidRPr="00F15C89">
          <w:rPr>
            <w:rFonts w:cs="Arial"/>
            <w:noProof/>
            <w:webHidden/>
            <w:sz w:val="22"/>
          </w:rPr>
          <w:instrText xml:space="preserve"> PAGEREF _Toc198290968 \h </w:instrText>
        </w:r>
        <w:r w:rsidR="00D30FF0" w:rsidRPr="00F15C89">
          <w:rPr>
            <w:rFonts w:cs="Arial"/>
            <w:noProof/>
            <w:webHidden/>
            <w:sz w:val="22"/>
          </w:rPr>
        </w:r>
        <w:r w:rsidR="00D30FF0" w:rsidRPr="00F15C89">
          <w:rPr>
            <w:rFonts w:cs="Arial"/>
            <w:noProof/>
            <w:webHidden/>
            <w:sz w:val="22"/>
          </w:rPr>
          <w:fldChar w:fldCharType="separate"/>
        </w:r>
        <w:r w:rsidR="00D30FF0" w:rsidRPr="00F15C89">
          <w:rPr>
            <w:rFonts w:cs="Arial"/>
            <w:noProof/>
            <w:webHidden/>
            <w:sz w:val="22"/>
          </w:rPr>
          <w:t>17</w:t>
        </w:r>
        <w:r w:rsidR="00D30FF0" w:rsidRPr="00F15C89">
          <w:rPr>
            <w:rFonts w:cs="Arial"/>
            <w:noProof/>
            <w:webHidden/>
            <w:sz w:val="22"/>
          </w:rPr>
          <w:fldChar w:fldCharType="end"/>
        </w:r>
      </w:hyperlink>
    </w:p>
    <w:p w14:paraId="28D7C82A" w14:textId="5AD487C2" w:rsidR="00D30FF0" w:rsidRPr="00F15C89" w:rsidRDefault="00000000">
      <w:pPr>
        <w:pStyle w:val="Obsah1"/>
        <w:tabs>
          <w:tab w:val="right" w:leader="dot" w:pos="9062"/>
        </w:tabs>
        <w:rPr>
          <w:rFonts w:eastAsiaTheme="minorEastAsia" w:cs="Arial"/>
          <w:noProof/>
          <w:kern w:val="2"/>
          <w:sz w:val="22"/>
          <w:lang w:eastAsia="cs-CZ"/>
          <w14:ligatures w14:val="standardContextual"/>
        </w:rPr>
      </w:pPr>
      <w:hyperlink w:anchor="_Toc198290969" w:history="1">
        <w:r w:rsidR="00D30FF0" w:rsidRPr="00F15C89">
          <w:rPr>
            <w:rStyle w:val="Hypertextovodkaz"/>
            <w:rFonts w:cs="Arial"/>
            <w:noProof/>
            <w:sz w:val="22"/>
          </w:rPr>
          <w:t>Minimální standard</w:t>
        </w:r>
        <w:r w:rsidR="00182EEB" w:rsidRPr="00F15C89">
          <w:rPr>
            <w:rStyle w:val="Hypertextovodkaz"/>
            <w:rFonts w:cs="Arial"/>
            <w:noProof/>
            <w:sz w:val="22"/>
          </w:rPr>
          <w:t>y</w:t>
        </w:r>
        <w:r w:rsidR="00D30FF0" w:rsidRPr="00F15C89">
          <w:rPr>
            <w:rStyle w:val="Hypertextovodkaz"/>
            <w:rFonts w:cs="Arial"/>
            <w:noProof/>
            <w:sz w:val="22"/>
          </w:rPr>
          <w:t xml:space="preserve"> OVZ pro </w:t>
        </w:r>
        <w:r w:rsidR="00D30FF0" w:rsidRPr="00F15C89">
          <w:rPr>
            <w:rStyle w:val="Hypertextovodkaz"/>
            <w:rFonts w:cs="Arial"/>
            <w:bCs/>
            <w:noProof/>
            <w:sz w:val="22"/>
            <w:shd w:val="clear" w:color="auto" w:fill="FFFFFF"/>
          </w:rPr>
          <w:t>stavebnictví</w:t>
        </w:r>
        <w:r w:rsidR="00D30FF0" w:rsidRPr="00F15C89">
          <w:rPr>
            <w:rFonts w:cs="Arial"/>
            <w:noProof/>
            <w:webHidden/>
            <w:sz w:val="22"/>
          </w:rPr>
          <w:tab/>
        </w:r>
        <w:r w:rsidR="00D30FF0" w:rsidRPr="00F15C89">
          <w:rPr>
            <w:rFonts w:cs="Arial"/>
            <w:noProof/>
            <w:webHidden/>
            <w:sz w:val="22"/>
          </w:rPr>
          <w:fldChar w:fldCharType="begin"/>
        </w:r>
        <w:r w:rsidR="00D30FF0" w:rsidRPr="00F15C89">
          <w:rPr>
            <w:rFonts w:cs="Arial"/>
            <w:noProof/>
            <w:webHidden/>
            <w:sz w:val="22"/>
          </w:rPr>
          <w:instrText xml:space="preserve"> PAGEREF _Toc198290969 \h </w:instrText>
        </w:r>
        <w:r w:rsidR="00D30FF0" w:rsidRPr="00F15C89">
          <w:rPr>
            <w:rFonts w:cs="Arial"/>
            <w:noProof/>
            <w:webHidden/>
            <w:sz w:val="22"/>
          </w:rPr>
        </w:r>
        <w:r w:rsidR="00D30FF0" w:rsidRPr="00F15C89">
          <w:rPr>
            <w:rFonts w:cs="Arial"/>
            <w:noProof/>
            <w:webHidden/>
            <w:sz w:val="22"/>
          </w:rPr>
          <w:fldChar w:fldCharType="separate"/>
        </w:r>
        <w:r w:rsidR="00D30FF0" w:rsidRPr="00F15C89">
          <w:rPr>
            <w:rFonts w:cs="Arial"/>
            <w:noProof/>
            <w:webHidden/>
            <w:sz w:val="22"/>
          </w:rPr>
          <w:t>19</w:t>
        </w:r>
        <w:r w:rsidR="00D30FF0" w:rsidRPr="00F15C89">
          <w:rPr>
            <w:rFonts w:cs="Arial"/>
            <w:noProof/>
            <w:webHidden/>
            <w:sz w:val="22"/>
          </w:rPr>
          <w:fldChar w:fldCharType="end"/>
        </w:r>
      </w:hyperlink>
    </w:p>
    <w:p w14:paraId="7926BE08" w14:textId="755DDB6D" w:rsidR="00D30FF0" w:rsidRPr="00F15C89" w:rsidRDefault="00000000">
      <w:pPr>
        <w:pStyle w:val="Obsah1"/>
        <w:tabs>
          <w:tab w:val="right" w:leader="dot" w:pos="9062"/>
        </w:tabs>
        <w:rPr>
          <w:rFonts w:eastAsiaTheme="minorEastAsia" w:cs="Arial"/>
          <w:noProof/>
          <w:kern w:val="2"/>
          <w:sz w:val="22"/>
          <w:lang w:eastAsia="cs-CZ"/>
          <w14:ligatures w14:val="standardContextual"/>
        </w:rPr>
      </w:pPr>
      <w:hyperlink w:anchor="_Toc198290970" w:history="1">
        <w:r w:rsidR="00D30FF0" w:rsidRPr="00F15C89">
          <w:rPr>
            <w:rStyle w:val="Hypertextovodkaz"/>
            <w:rFonts w:cs="Arial"/>
            <w:noProof/>
            <w:sz w:val="22"/>
          </w:rPr>
          <w:t xml:space="preserve">Sektorální předpisy </w:t>
        </w:r>
        <w:r w:rsidR="00D30FF0" w:rsidRPr="00F15C89">
          <w:rPr>
            <w:rStyle w:val="Hypertextovodkaz"/>
            <w:rFonts w:cs="Arial"/>
            <w:bCs/>
            <w:noProof/>
            <w:sz w:val="22"/>
          </w:rPr>
          <w:t>EU s přesahem do veřejných zakázek</w:t>
        </w:r>
        <w:r w:rsidR="00D30FF0" w:rsidRPr="00F15C89">
          <w:rPr>
            <w:rFonts w:cs="Arial"/>
            <w:noProof/>
            <w:webHidden/>
            <w:sz w:val="22"/>
          </w:rPr>
          <w:tab/>
        </w:r>
        <w:r w:rsidR="00D30FF0" w:rsidRPr="00F15C89">
          <w:rPr>
            <w:rFonts w:cs="Arial"/>
            <w:noProof/>
            <w:webHidden/>
            <w:sz w:val="22"/>
          </w:rPr>
          <w:fldChar w:fldCharType="begin"/>
        </w:r>
        <w:r w:rsidR="00D30FF0" w:rsidRPr="00F15C89">
          <w:rPr>
            <w:rFonts w:cs="Arial"/>
            <w:noProof/>
            <w:webHidden/>
            <w:sz w:val="22"/>
          </w:rPr>
          <w:instrText xml:space="preserve"> PAGEREF _Toc198290970 \h </w:instrText>
        </w:r>
        <w:r w:rsidR="00D30FF0" w:rsidRPr="00F15C89">
          <w:rPr>
            <w:rFonts w:cs="Arial"/>
            <w:noProof/>
            <w:webHidden/>
            <w:sz w:val="22"/>
          </w:rPr>
        </w:r>
        <w:r w:rsidR="00D30FF0" w:rsidRPr="00F15C89">
          <w:rPr>
            <w:rFonts w:cs="Arial"/>
            <w:noProof/>
            <w:webHidden/>
            <w:sz w:val="22"/>
          </w:rPr>
          <w:fldChar w:fldCharType="separate"/>
        </w:r>
        <w:r w:rsidR="00D30FF0" w:rsidRPr="00F15C89">
          <w:rPr>
            <w:rFonts w:cs="Arial"/>
            <w:noProof/>
            <w:webHidden/>
            <w:sz w:val="22"/>
          </w:rPr>
          <w:t>21</w:t>
        </w:r>
        <w:r w:rsidR="00D30FF0" w:rsidRPr="00F15C89">
          <w:rPr>
            <w:rFonts w:cs="Arial"/>
            <w:noProof/>
            <w:webHidden/>
            <w:sz w:val="22"/>
          </w:rPr>
          <w:fldChar w:fldCharType="end"/>
        </w:r>
      </w:hyperlink>
    </w:p>
    <w:p w14:paraId="5E5543BF" w14:textId="196E426F" w:rsidR="00D30FF0" w:rsidRPr="00F15C89" w:rsidRDefault="00000000">
      <w:pPr>
        <w:pStyle w:val="Obsah1"/>
        <w:tabs>
          <w:tab w:val="right" w:leader="dot" w:pos="9062"/>
        </w:tabs>
        <w:rPr>
          <w:rFonts w:eastAsiaTheme="minorEastAsia" w:cs="Arial"/>
          <w:noProof/>
          <w:kern w:val="2"/>
          <w:sz w:val="22"/>
          <w:lang w:eastAsia="cs-CZ"/>
          <w14:ligatures w14:val="standardContextual"/>
        </w:rPr>
      </w:pPr>
      <w:hyperlink w:anchor="_Toc198290971" w:history="1">
        <w:r w:rsidR="00D30FF0" w:rsidRPr="00F15C89">
          <w:rPr>
            <w:rStyle w:val="Hypertextovodkaz"/>
            <w:rFonts w:cs="Arial"/>
            <w:noProof/>
            <w:sz w:val="22"/>
          </w:rPr>
          <w:t>Seznam zkratek</w:t>
        </w:r>
        <w:r w:rsidR="00D30FF0" w:rsidRPr="00F15C89">
          <w:rPr>
            <w:rFonts w:cs="Arial"/>
            <w:noProof/>
            <w:webHidden/>
            <w:sz w:val="22"/>
          </w:rPr>
          <w:tab/>
        </w:r>
        <w:r w:rsidR="00D30FF0" w:rsidRPr="00F15C89">
          <w:rPr>
            <w:rFonts w:cs="Arial"/>
            <w:noProof/>
            <w:webHidden/>
            <w:sz w:val="22"/>
          </w:rPr>
          <w:fldChar w:fldCharType="begin"/>
        </w:r>
        <w:r w:rsidR="00D30FF0" w:rsidRPr="00F15C89">
          <w:rPr>
            <w:rFonts w:cs="Arial"/>
            <w:noProof/>
            <w:webHidden/>
            <w:sz w:val="22"/>
          </w:rPr>
          <w:instrText xml:space="preserve"> PAGEREF _Toc198290971 \h </w:instrText>
        </w:r>
        <w:r w:rsidR="00D30FF0" w:rsidRPr="00F15C89">
          <w:rPr>
            <w:rFonts w:cs="Arial"/>
            <w:noProof/>
            <w:webHidden/>
            <w:sz w:val="22"/>
          </w:rPr>
        </w:r>
        <w:r w:rsidR="00D30FF0" w:rsidRPr="00F15C89">
          <w:rPr>
            <w:rFonts w:cs="Arial"/>
            <w:noProof/>
            <w:webHidden/>
            <w:sz w:val="22"/>
          </w:rPr>
          <w:fldChar w:fldCharType="separate"/>
        </w:r>
        <w:r w:rsidR="00D30FF0" w:rsidRPr="00F15C89">
          <w:rPr>
            <w:rFonts w:cs="Arial"/>
            <w:noProof/>
            <w:webHidden/>
            <w:sz w:val="22"/>
          </w:rPr>
          <w:t>22</w:t>
        </w:r>
        <w:r w:rsidR="00D30FF0" w:rsidRPr="00F15C89">
          <w:rPr>
            <w:rFonts w:cs="Arial"/>
            <w:noProof/>
            <w:webHidden/>
            <w:sz w:val="22"/>
          </w:rPr>
          <w:fldChar w:fldCharType="end"/>
        </w:r>
      </w:hyperlink>
    </w:p>
    <w:p w14:paraId="4576617F" w14:textId="0814E68F" w:rsidR="00B46EEA" w:rsidRPr="00F15C89" w:rsidRDefault="00E20FAE" w:rsidP="00EA784C">
      <w:pPr>
        <w:spacing w:before="120" w:after="120" w:line="240" w:lineRule="auto"/>
        <w:rPr>
          <w:rFonts w:ascii="Arial" w:hAnsi="Arial" w:cs="Arial"/>
        </w:rPr>
      </w:pPr>
      <w:r w:rsidRPr="00F15C89">
        <w:rPr>
          <w:rFonts w:ascii="Arial" w:hAnsi="Arial" w:cs="Arial"/>
        </w:rPr>
        <w:fldChar w:fldCharType="end"/>
      </w:r>
    </w:p>
    <w:p w14:paraId="2F7AA59E" w14:textId="5F5ACBB5" w:rsidR="00F13BB9" w:rsidRPr="00F15C89" w:rsidRDefault="00C52E89">
      <w:pPr>
        <w:rPr>
          <w:rStyle w:val="normaltextrun"/>
          <w:rFonts w:ascii="Arial" w:hAnsi="Arial" w:cs="Arial"/>
          <w:color w:val="000000" w:themeColor="text1"/>
        </w:rPr>
      </w:pPr>
      <w:r w:rsidRPr="00F15C89">
        <w:rPr>
          <w:rStyle w:val="normaltextrun"/>
          <w:rFonts w:ascii="Arial" w:hAnsi="Arial" w:cs="Arial"/>
          <w:color w:val="000000" w:themeColor="text1"/>
        </w:rPr>
        <w:br w:type="page"/>
      </w:r>
    </w:p>
    <w:p w14:paraId="4F811E8D" w14:textId="77777777" w:rsidR="005210DF" w:rsidRPr="00F15C89" w:rsidRDefault="00F13BB9" w:rsidP="00B46EEA">
      <w:pPr>
        <w:pStyle w:val="Nadpis1"/>
        <w:rPr>
          <w:rStyle w:val="normaltextrun"/>
          <w:rFonts w:cs="Arial"/>
          <w:color w:val="000000"/>
          <w:sz w:val="22"/>
          <w:szCs w:val="22"/>
          <w:shd w:val="clear" w:color="auto" w:fill="FFFFFF"/>
        </w:rPr>
      </w:pPr>
      <w:bookmarkStart w:id="0" w:name="_Toc197677977"/>
      <w:bookmarkStart w:id="1" w:name="_Toc198290964"/>
      <w:r w:rsidRPr="00F15C89">
        <w:rPr>
          <w:rStyle w:val="normaltextrun"/>
          <w:rFonts w:cs="Arial"/>
          <w:color w:val="000000"/>
          <w:sz w:val="22"/>
          <w:szCs w:val="22"/>
          <w:shd w:val="clear" w:color="auto" w:fill="FFFFFF"/>
        </w:rPr>
        <w:lastRenderedPageBreak/>
        <w:t>Minimální standard OVZ pro dodávky kancelářského papíru</w:t>
      </w:r>
      <w:bookmarkEnd w:id="0"/>
      <w:bookmarkEnd w:id="1"/>
      <w:r w:rsidRPr="00F15C89">
        <w:rPr>
          <w:rStyle w:val="normaltextrun"/>
          <w:rFonts w:cs="Arial"/>
          <w:color w:val="000000"/>
          <w:sz w:val="22"/>
          <w:szCs w:val="22"/>
          <w:shd w:val="clear" w:color="auto" w:fill="FFFFFF"/>
        </w:rPr>
        <w:t xml:space="preserve"> </w:t>
      </w:r>
    </w:p>
    <w:p w14:paraId="76561D37" w14:textId="77777777" w:rsidR="00F13BB9" w:rsidRPr="00F15C89" w:rsidRDefault="00F13BB9" w:rsidP="00F35517">
      <w:pPr>
        <w:spacing w:after="0" w:line="240" w:lineRule="auto"/>
        <w:jc w:val="both"/>
        <w:rPr>
          <w:rFonts w:ascii="Arial" w:hAnsi="Arial" w:cs="Arial"/>
        </w:rPr>
      </w:pPr>
    </w:p>
    <w:p w14:paraId="60ABB3DA" w14:textId="66EA750B" w:rsidR="00F13BB9" w:rsidRPr="00F15C89" w:rsidRDefault="00F13BB9" w:rsidP="008138CC">
      <w:pPr>
        <w:spacing w:after="0" w:line="240" w:lineRule="auto"/>
        <w:ind w:firstLine="708"/>
        <w:jc w:val="both"/>
        <w:rPr>
          <w:rFonts w:ascii="Arial" w:hAnsi="Arial" w:cs="Arial"/>
        </w:rPr>
      </w:pPr>
      <w:r w:rsidRPr="00F15C89">
        <w:rPr>
          <w:rFonts w:ascii="Arial" w:hAnsi="Arial" w:cs="Arial"/>
        </w:rPr>
        <w:t xml:space="preserve">Kancelářským papírem </w:t>
      </w:r>
      <w:r w:rsidR="00BF5ADA" w:rsidRPr="00F15C89">
        <w:rPr>
          <w:rFonts w:ascii="Arial" w:hAnsi="Arial" w:cs="Arial"/>
        </w:rPr>
        <w:t xml:space="preserve">se </w:t>
      </w:r>
      <w:r w:rsidRPr="00F15C89">
        <w:rPr>
          <w:rFonts w:ascii="Arial" w:hAnsi="Arial" w:cs="Arial"/>
        </w:rPr>
        <w:t xml:space="preserve">rozumí </w:t>
      </w:r>
      <w:r w:rsidR="00DF17BC" w:rsidRPr="00F15C89">
        <w:rPr>
          <w:rFonts w:ascii="Arial" w:hAnsi="Arial" w:cs="Arial"/>
        </w:rPr>
        <w:t>xerografický</w:t>
      </w:r>
      <w:r w:rsidRPr="00F15C89">
        <w:rPr>
          <w:rFonts w:ascii="Arial" w:hAnsi="Arial" w:cs="Arial"/>
        </w:rPr>
        <w:t xml:space="preserve"> papír pro běžné kancelářské použití, </w:t>
      </w:r>
      <w:r w:rsidR="00A87D5C" w:rsidRPr="00F15C89">
        <w:rPr>
          <w:rFonts w:ascii="Arial" w:hAnsi="Arial" w:cs="Arial"/>
        </w:rPr>
        <w:t xml:space="preserve">zejména tisk a kopírování, </w:t>
      </w:r>
      <w:r w:rsidRPr="00F15C89">
        <w:rPr>
          <w:rFonts w:ascii="Arial" w:hAnsi="Arial" w:cs="Arial"/>
        </w:rPr>
        <w:t>u kterého není v souladu s právními předpisy a</w:t>
      </w:r>
      <w:r w:rsidR="00FA3411" w:rsidRPr="00F15C89">
        <w:rPr>
          <w:rFonts w:ascii="Arial" w:hAnsi="Arial" w:cs="Arial"/>
        </w:rPr>
        <w:t> </w:t>
      </w:r>
      <w:r w:rsidRPr="00F15C89">
        <w:rPr>
          <w:rFonts w:ascii="Arial" w:hAnsi="Arial" w:cs="Arial"/>
        </w:rPr>
        <w:t xml:space="preserve">příslušnými normami </w:t>
      </w:r>
      <w:r w:rsidR="00DB5AB7" w:rsidRPr="00F15C89">
        <w:rPr>
          <w:rFonts w:ascii="Arial" w:hAnsi="Arial" w:cs="Arial"/>
        </w:rPr>
        <w:t>(</w:t>
      </w:r>
      <w:r w:rsidRPr="00F15C89">
        <w:rPr>
          <w:rStyle w:val="cf01"/>
          <w:rFonts w:ascii="Arial" w:hAnsi="Arial" w:cs="Arial"/>
          <w:sz w:val="22"/>
          <w:szCs w:val="22"/>
        </w:rPr>
        <w:t>ČSN ISO 9706 (502195)</w:t>
      </w:r>
      <w:r w:rsidRPr="00F15C89">
        <w:rPr>
          <w:rFonts w:ascii="Arial" w:hAnsi="Arial" w:cs="Arial"/>
        </w:rPr>
        <w:t xml:space="preserve">, vyžadována dlouhodobá archivace. </w:t>
      </w:r>
    </w:p>
    <w:p w14:paraId="361F8930" w14:textId="77777777" w:rsidR="00F13BB9" w:rsidRPr="00F15C89" w:rsidRDefault="00F13BB9" w:rsidP="00A31CE0">
      <w:pPr>
        <w:spacing w:after="0" w:line="240" w:lineRule="auto"/>
        <w:jc w:val="both"/>
        <w:rPr>
          <w:rFonts w:ascii="Arial" w:hAnsi="Arial" w:cs="Arial"/>
        </w:rPr>
      </w:pPr>
    </w:p>
    <w:p w14:paraId="748A216A" w14:textId="579FBB2F" w:rsidR="00EA4335" w:rsidRPr="00F15C89" w:rsidRDefault="007F5BC3" w:rsidP="00A31CE0">
      <w:pPr>
        <w:pStyle w:val="Titulek"/>
        <w:spacing w:after="0"/>
        <w:jc w:val="both"/>
        <w:rPr>
          <w:rFonts w:ascii="Arial" w:hAnsi="Arial" w:cs="Arial"/>
          <w:sz w:val="22"/>
          <w:szCs w:val="22"/>
        </w:rPr>
      </w:pPr>
      <w:bookmarkStart w:id="2" w:name="_Toc194053147"/>
      <w:r w:rsidRPr="00F15C89">
        <w:rPr>
          <w:rFonts w:ascii="Arial" w:hAnsi="Arial" w:cs="Arial"/>
          <w:sz w:val="22"/>
          <w:szCs w:val="22"/>
        </w:rPr>
        <w:t xml:space="preserve">Tabulka </w:t>
      </w:r>
      <w:r w:rsidRPr="00F15C89">
        <w:rPr>
          <w:rFonts w:ascii="Arial" w:hAnsi="Arial" w:cs="Arial"/>
          <w:sz w:val="22"/>
          <w:szCs w:val="22"/>
        </w:rPr>
        <w:fldChar w:fldCharType="begin"/>
      </w:r>
      <w:r w:rsidRPr="00F15C89">
        <w:rPr>
          <w:rFonts w:ascii="Arial" w:hAnsi="Arial" w:cs="Arial"/>
          <w:sz w:val="22"/>
          <w:szCs w:val="22"/>
        </w:rPr>
        <w:instrText xml:space="preserve"> SEQ Tabulka \* ARABIC </w:instrText>
      </w:r>
      <w:r w:rsidRPr="00F15C89">
        <w:rPr>
          <w:rFonts w:ascii="Arial" w:hAnsi="Arial" w:cs="Arial"/>
          <w:sz w:val="22"/>
          <w:szCs w:val="22"/>
        </w:rPr>
        <w:fldChar w:fldCharType="separate"/>
      </w:r>
      <w:r w:rsidRPr="00F15C89">
        <w:rPr>
          <w:rFonts w:ascii="Arial" w:hAnsi="Arial" w:cs="Arial"/>
          <w:sz w:val="22"/>
          <w:szCs w:val="22"/>
        </w:rPr>
        <w:t>1</w:t>
      </w:r>
      <w:r w:rsidRPr="00F15C89">
        <w:rPr>
          <w:rFonts w:ascii="Arial" w:hAnsi="Arial" w:cs="Arial"/>
          <w:sz w:val="22"/>
          <w:szCs w:val="22"/>
        </w:rPr>
        <w:fldChar w:fldCharType="end"/>
      </w:r>
      <w:r w:rsidR="00A44AE1" w:rsidRPr="00F15C89">
        <w:rPr>
          <w:rFonts w:ascii="Arial" w:hAnsi="Arial" w:cs="Arial"/>
          <w:sz w:val="22"/>
          <w:szCs w:val="22"/>
        </w:rPr>
        <w:t xml:space="preserve"> </w:t>
      </w:r>
      <w:r w:rsidR="00F244B6" w:rsidRPr="00F15C89">
        <w:rPr>
          <w:rFonts w:ascii="Arial" w:hAnsi="Arial" w:cs="Arial"/>
          <w:sz w:val="22"/>
          <w:szCs w:val="22"/>
        </w:rPr>
        <w:t>Finanční objemy</w:t>
      </w:r>
      <w:r w:rsidR="008A5883" w:rsidRPr="00F15C89">
        <w:rPr>
          <w:rFonts w:ascii="Arial" w:hAnsi="Arial" w:cs="Arial"/>
          <w:sz w:val="22"/>
          <w:szCs w:val="22"/>
        </w:rPr>
        <w:t xml:space="preserve"> </w:t>
      </w:r>
      <w:r w:rsidR="00CB4FBB" w:rsidRPr="00F15C89">
        <w:rPr>
          <w:rFonts w:ascii="Arial" w:hAnsi="Arial" w:cs="Arial"/>
          <w:sz w:val="22"/>
          <w:szCs w:val="22"/>
        </w:rPr>
        <w:t xml:space="preserve">VZ </w:t>
      </w:r>
      <w:r w:rsidR="00BA7D7E" w:rsidRPr="00F15C89">
        <w:rPr>
          <w:rFonts w:ascii="Arial" w:hAnsi="Arial" w:cs="Arial"/>
          <w:sz w:val="22"/>
          <w:szCs w:val="22"/>
        </w:rPr>
        <w:t>pro kancelářský papír</w:t>
      </w:r>
      <w:bookmarkEnd w:id="2"/>
    </w:p>
    <w:tbl>
      <w:tblPr>
        <w:tblStyle w:val="Mkatabulky"/>
        <w:tblW w:w="5665" w:type="dxa"/>
        <w:tblLook w:val="04A0" w:firstRow="1" w:lastRow="0" w:firstColumn="1" w:lastColumn="0" w:noHBand="0" w:noVBand="1"/>
      </w:tblPr>
      <w:tblGrid>
        <w:gridCol w:w="2835"/>
        <w:gridCol w:w="2830"/>
      </w:tblGrid>
      <w:tr w:rsidR="00F13BB9" w:rsidRPr="00F15C89" w14:paraId="633028E4" w14:textId="77777777" w:rsidTr="00721D93">
        <w:tc>
          <w:tcPr>
            <w:tcW w:w="2835" w:type="dxa"/>
          </w:tcPr>
          <w:p w14:paraId="683F6D18" w14:textId="3838CC20" w:rsidR="00F13BB9" w:rsidRPr="00F15C89" w:rsidRDefault="00F13BB9" w:rsidP="00A31CE0">
            <w:pPr>
              <w:jc w:val="both"/>
              <w:rPr>
                <w:rFonts w:ascii="Arial" w:hAnsi="Arial" w:cs="Arial"/>
              </w:rPr>
            </w:pPr>
            <w:r w:rsidRPr="00F15C89">
              <w:rPr>
                <w:rFonts w:ascii="Arial" w:hAnsi="Arial" w:cs="Arial"/>
              </w:rPr>
              <w:t xml:space="preserve">Objem VZ </w:t>
            </w:r>
            <w:r w:rsidR="002A5449" w:rsidRPr="00F15C89">
              <w:rPr>
                <w:rFonts w:ascii="Arial" w:hAnsi="Arial" w:cs="Arial"/>
              </w:rPr>
              <w:t xml:space="preserve">pro rok </w:t>
            </w:r>
            <w:r w:rsidRPr="00F15C89">
              <w:rPr>
                <w:rFonts w:ascii="Arial" w:hAnsi="Arial" w:cs="Arial"/>
              </w:rPr>
              <w:t>2022</w:t>
            </w:r>
          </w:p>
        </w:tc>
        <w:tc>
          <w:tcPr>
            <w:tcW w:w="2830" w:type="dxa"/>
          </w:tcPr>
          <w:p w14:paraId="64491825" w14:textId="0D0EB0C1" w:rsidR="00F13BB9" w:rsidRPr="00F15C89" w:rsidRDefault="00F13BB9" w:rsidP="00A31CE0">
            <w:pPr>
              <w:jc w:val="both"/>
              <w:rPr>
                <w:rFonts w:ascii="Arial" w:hAnsi="Arial" w:cs="Arial"/>
              </w:rPr>
            </w:pPr>
            <w:r w:rsidRPr="00F15C89">
              <w:rPr>
                <w:rFonts w:ascii="Arial" w:hAnsi="Arial" w:cs="Arial"/>
              </w:rPr>
              <w:t xml:space="preserve">Objem VZ </w:t>
            </w:r>
            <w:r w:rsidR="002A5449" w:rsidRPr="00F15C89">
              <w:rPr>
                <w:rFonts w:ascii="Arial" w:hAnsi="Arial" w:cs="Arial"/>
              </w:rPr>
              <w:t xml:space="preserve">pro rok </w:t>
            </w:r>
            <w:r w:rsidRPr="00F15C89">
              <w:rPr>
                <w:rFonts w:ascii="Arial" w:hAnsi="Arial" w:cs="Arial"/>
              </w:rPr>
              <w:t>2023</w:t>
            </w:r>
          </w:p>
        </w:tc>
      </w:tr>
      <w:tr w:rsidR="00F13BB9" w:rsidRPr="00F15C89" w14:paraId="06C694AD" w14:textId="77777777" w:rsidTr="00721D93">
        <w:tc>
          <w:tcPr>
            <w:tcW w:w="2835" w:type="dxa"/>
          </w:tcPr>
          <w:p w14:paraId="4193CF75" w14:textId="4F7BC0B6" w:rsidR="00F13BB9" w:rsidRPr="00F15C89" w:rsidRDefault="00DA2415" w:rsidP="00A31CE0">
            <w:pPr>
              <w:jc w:val="both"/>
              <w:rPr>
                <w:rFonts w:ascii="Arial" w:hAnsi="Arial" w:cs="Arial"/>
              </w:rPr>
            </w:pPr>
            <w:r w:rsidRPr="00F15C89">
              <w:rPr>
                <w:rFonts w:ascii="Arial" w:hAnsi="Arial" w:cs="Arial"/>
              </w:rPr>
              <w:t>0,02 mld.</w:t>
            </w:r>
            <w:r w:rsidR="00F13BB9" w:rsidRPr="00F15C89">
              <w:rPr>
                <w:rFonts w:ascii="Arial" w:hAnsi="Arial" w:cs="Arial"/>
              </w:rPr>
              <w:t xml:space="preserve"> Kč</w:t>
            </w:r>
          </w:p>
        </w:tc>
        <w:tc>
          <w:tcPr>
            <w:tcW w:w="2830" w:type="dxa"/>
          </w:tcPr>
          <w:p w14:paraId="5E8A9D6F" w14:textId="1DFDE549" w:rsidR="00F13BB9" w:rsidRPr="00F15C89" w:rsidRDefault="00FF023E" w:rsidP="00A31CE0">
            <w:pPr>
              <w:jc w:val="both"/>
              <w:rPr>
                <w:rFonts w:ascii="Arial" w:hAnsi="Arial" w:cs="Arial"/>
              </w:rPr>
            </w:pPr>
            <w:r w:rsidRPr="00F15C89">
              <w:rPr>
                <w:rFonts w:ascii="Arial" w:hAnsi="Arial" w:cs="Arial"/>
              </w:rPr>
              <w:t>0,04</w:t>
            </w:r>
            <w:r w:rsidR="00F13BB9" w:rsidRPr="00F15C89">
              <w:rPr>
                <w:rFonts w:ascii="Arial" w:hAnsi="Arial" w:cs="Arial"/>
              </w:rPr>
              <w:t xml:space="preserve"> m</w:t>
            </w:r>
            <w:r w:rsidRPr="00F15C89">
              <w:rPr>
                <w:rFonts w:ascii="Arial" w:hAnsi="Arial" w:cs="Arial"/>
              </w:rPr>
              <w:t>ld.</w:t>
            </w:r>
            <w:r w:rsidR="00F13BB9" w:rsidRPr="00F15C89">
              <w:rPr>
                <w:rFonts w:ascii="Arial" w:hAnsi="Arial" w:cs="Arial"/>
              </w:rPr>
              <w:t xml:space="preserve"> Kč</w:t>
            </w:r>
          </w:p>
        </w:tc>
      </w:tr>
    </w:tbl>
    <w:p w14:paraId="0B42732A" w14:textId="4E698CE2" w:rsidR="00F13BB9" w:rsidRPr="00F15C89" w:rsidRDefault="0039266A" w:rsidP="00A31CE0">
      <w:pPr>
        <w:spacing w:after="0" w:line="240" w:lineRule="auto"/>
        <w:jc w:val="both"/>
        <w:rPr>
          <w:rFonts w:ascii="Arial" w:hAnsi="Arial" w:cs="Arial"/>
          <w:i/>
        </w:rPr>
      </w:pPr>
      <w:r w:rsidRPr="00F15C89">
        <w:rPr>
          <w:rFonts w:ascii="Arial" w:hAnsi="Arial" w:cs="Arial"/>
          <w:i/>
        </w:rPr>
        <w:t>Zdroj: Věstník veřejných zakázek</w:t>
      </w:r>
    </w:p>
    <w:p w14:paraId="790BC430" w14:textId="77777777" w:rsidR="00A31CE0" w:rsidRPr="00F15C89" w:rsidRDefault="00A31CE0" w:rsidP="00A31CE0">
      <w:pPr>
        <w:spacing w:after="0" w:line="240" w:lineRule="auto"/>
        <w:ind w:firstLine="708"/>
        <w:jc w:val="both"/>
        <w:rPr>
          <w:rFonts w:ascii="Arial" w:eastAsia="Calibri" w:hAnsi="Arial" w:cs="Arial"/>
          <w:kern w:val="2"/>
          <w14:ligatures w14:val="standardContextual"/>
        </w:rPr>
      </w:pPr>
    </w:p>
    <w:p w14:paraId="23F942E0" w14:textId="429668B9" w:rsidR="00A31CE0" w:rsidRPr="00F15C89" w:rsidRDefault="00F13BB9" w:rsidP="00D5008C">
      <w:pPr>
        <w:spacing w:after="0" w:line="240" w:lineRule="auto"/>
        <w:ind w:firstLine="426"/>
        <w:jc w:val="both"/>
        <w:rPr>
          <w:rFonts w:ascii="Arial" w:hAnsi="Arial" w:cs="Arial"/>
        </w:rPr>
      </w:pPr>
      <w:r w:rsidRPr="00F15C89">
        <w:rPr>
          <w:rFonts w:ascii="Arial" w:eastAsia="Calibri" w:hAnsi="Arial" w:cs="Arial"/>
          <w:kern w:val="2"/>
          <w14:ligatures w14:val="standardContextual"/>
        </w:rPr>
        <w:t>Požadavek na Ekoznačku EU (Ecolabel) je dlouhodobě využíván, jak jednotlivými zadavateli, tak např. v rámci společného nákupu státu realizovaného Ministerstvem financí nebo v rámci resortního společného nákupu, např. Ministerstva práce a sociálních věcí, Centrálním nákupem Plzeňského kraje nebo CEJIZA</w:t>
      </w:r>
      <w:r w:rsidR="00D5008C">
        <w:rPr>
          <w:rFonts w:ascii="Arial" w:eastAsia="Calibri" w:hAnsi="Arial" w:cs="Arial"/>
          <w:kern w:val="2"/>
          <w14:ligatures w14:val="standardContextual"/>
        </w:rPr>
        <w:t xml:space="preserve">: </w:t>
      </w:r>
      <w:r w:rsidRPr="00F15C89">
        <w:rPr>
          <w:rFonts w:ascii="Arial" w:eastAsia="Calibri" w:hAnsi="Arial" w:cs="Arial"/>
          <w:kern w:val="2"/>
          <w14:ligatures w14:val="standardContextual"/>
        </w:rPr>
        <w:t xml:space="preserve">centrálním zadavatelem Jihomoravského kraje a dalšími. Nahradil dřívější požadavky na </w:t>
      </w:r>
      <w:r w:rsidRPr="00F15C89">
        <w:rPr>
          <w:rFonts w:ascii="Arial" w:hAnsi="Arial" w:cs="Arial"/>
        </w:rPr>
        <w:t>papír založený na bázi primárního vlákna pocházejícího ze zákonného nebo udržitelného zdroje a proces</w:t>
      </w:r>
      <w:r w:rsidR="00B96ABB" w:rsidRPr="00F15C89">
        <w:rPr>
          <w:rFonts w:ascii="Arial" w:hAnsi="Arial" w:cs="Arial"/>
        </w:rPr>
        <w:t>u</w:t>
      </w:r>
      <w:r w:rsidRPr="00F15C89">
        <w:rPr>
          <w:rFonts w:ascii="Arial" w:hAnsi="Arial" w:cs="Arial"/>
        </w:rPr>
        <w:t xml:space="preserve"> bělení </w:t>
      </w:r>
      <w:r w:rsidR="00D5008C">
        <w:rPr>
          <w:rFonts w:ascii="Arial" w:hAnsi="Arial" w:cs="Arial"/>
        </w:rPr>
        <w:br/>
      </w:r>
      <w:r w:rsidRPr="00F15C89">
        <w:rPr>
          <w:rFonts w:ascii="Arial" w:hAnsi="Arial" w:cs="Arial"/>
        </w:rPr>
        <w:t xml:space="preserve">bez použití elementárního chlóru (ECF), přičemž zadavatelé i v zadávacích řízeních s těmito méně přísnými ekologickými požadavky často obdrželi kancelářský papír s Ekoznačkou EU (Ecolabel). </w:t>
      </w:r>
    </w:p>
    <w:p w14:paraId="5EB63E02" w14:textId="77777777" w:rsidR="00A31CE0" w:rsidRPr="00F15C89" w:rsidRDefault="00A31CE0" w:rsidP="00A31CE0">
      <w:pPr>
        <w:spacing w:after="0" w:line="240" w:lineRule="auto"/>
        <w:ind w:firstLine="708"/>
        <w:jc w:val="both"/>
        <w:rPr>
          <w:rFonts w:ascii="Arial" w:hAnsi="Arial" w:cs="Arial"/>
        </w:rPr>
      </w:pPr>
    </w:p>
    <w:p w14:paraId="0F48BC39" w14:textId="18F64F4A" w:rsidR="00F13BB9" w:rsidRPr="00F15C89" w:rsidRDefault="00F13BB9" w:rsidP="00D5008C">
      <w:pPr>
        <w:spacing w:after="0" w:line="240" w:lineRule="auto"/>
        <w:ind w:firstLine="426"/>
        <w:jc w:val="both"/>
        <w:rPr>
          <w:rFonts w:ascii="Arial" w:eastAsia="Calibri" w:hAnsi="Arial" w:cs="Arial"/>
          <w:kern w:val="2"/>
          <w14:ligatures w14:val="standardContextual"/>
        </w:rPr>
      </w:pPr>
      <w:r w:rsidRPr="00F15C89">
        <w:rPr>
          <w:rFonts w:ascii="Arial" w:hAnsi="Arial" w:cs="Arial"/>
        </w:rPr>
        <w:t xml:space="preserve">Požadavek na splnění kritérií pro certifikaci Ekoznačka EU (Ecolabel) vedle </w:t>
      </w:r>
      <w:r w:rsidRPr="00F15C89">
        <w:rPr>
          <w:rStyle w:val="normaltextrun"/>
          <w:rFonts w:ascii="Arial" w:hAnsi="Arial" w:cs="Arial"/>
          <w:color w:val="000000"/>
          <w:shd w:val="clear" w:color="auto" w:fill="FFFFFF"/>
        </w:rPr>
        <w:t xml:space="preserve">původních požadavků na vlastnosti vláken pro výrobu a proces bělení zahrnuje řadu dalších kritérií </w:t>
      </w:r>
      <w:r w:rsidR="00477383" w:rsidRPr="00F15C89">
        <w:rPr>
          <w:rStyle w:val="normaltextrun"/>
          <w:rFonts w:ascii="Arial" w:hAnsi="Arial" w:cs="Arial"/>
          <w:color w:val="000000"/>
          <w:shd w:val="clear" w:color="auto" w:fill="FFFFFF"/>
        </w:rPr>
        <w:t>a</w:t>
      </w:r>
      <w:r w:rsidR="00477383">
        <w:rPr>
          <w:rStyle w:val="normaltextrun"/>
          <w:rFonts w:ascii="Arial" w:hAnsi="Arial" w:cs="Arial"/>
          <w:color w:val="000000"/>
          <w:shd w:val="clear" w:color="auto" w:fill="FFFFFF"/>
        </w:rPr>
        <w:t> </w:t>
      </w:r>
      <w:r w:rsidRPr="00F15C89">
        <w:rPr>
          <w:rStyle w:val="normaltextrun"/>
          <w:rFonts w:ascii="Arial" w:hAnsi="Arial" w:cs="Arial"/>
          <w:color w:val="000000"/>
          <w:shd w:val="clear" w:color="auto" w:fill="FFFFFF"/>
        </w:rPr>
        <w:t>pokrývá tak celý životní cyklus výroby kancelářského papíru</w:t>
      </w:r>
      <w:r w:rsidRPr="00F15C89">
        <w:rPr>
          <w:rFonts w:ascii="Arial" w:hAnsi="Arial" w:cs="Arial"/>
          <w:color w:val="000000" w:themeColor="text1"/>
          <w:shd w:val="clear" w:color="auto" w:fill="FFFFFF"/>
        </w:rPr>
        <w:t>.</w:t>
      </w:r>
      <w:r w:rsidRPr="00F15C89">
        <w:rPr>
          <w:rFonts w:ascii="Arial" w:hAnsi="Arial" w:cs="Arial"/>
        </w:rPr>
        <w:t xml:space="preserve"> </w:t>
      </w:r>
    </w:p>
    <w:p w14:paraId="67223CBE" w14:textId="77777777" w:rsidR="00A31CE0" w:rsidRPr="00F15C89" w:rsidRDefault="00A31CE0" w:rsidP="00A31CE0">
      <w:pPr>
        <w:spacing w:after="0" w:line="240" w:lineRule="auto"/>
        <w:jc w:val="both"/>
        <w:rPr>
          <w:rFonts w:ascii="Arial" w:eastAsia="Calibri" w:hAnsi="Arial" w:cs="Arial"/>
        </w:rPr>
      </w:pPr>
    </w:p>
    <w:p w14:paraId="67027DA1" w14:textId="04E48A7F" w:rsidR="002A326F" w:rsidRPr="00F15C89" w:rsidRDefault="002A326F" w:rsidP="00D5008C">
      <w:pPr>
        <w:spacing w:after="0" w:line="240" w:lineRule="auto"/>
        <w:ind w:firstLine="426"/>
        <w:jc w:val="both"/>
        <w:rPr>
          <w:rFonts w:ascii="Arial" w:hAnsi="Arial" w:cs="Arial"/>
        </w:rPr>
      </w:pPr>
      <w:r w:rsidRPr="00F15C89">
        <w:rPr>
          <w:rFonts w:ascii="Arial" w:eastAsia="Calibri" w:hAnsi="Arial" w:cs="Arial"/>
        </w:rPr>
        <w:t>Ekoznačka EU (Ecolabel)</w:t>
      </w:r>
      <w:r w:rsidRPr="00F15C89">
        <w:rPr>
          <w:rStyle w:val="Znakapoznpodarou"/>
          <w:rFonts w:ascii="Arial" w:eastAsia="Calibri" w:hAnsi="Arial" w:cs="Arial"/>
          <w:vertAlign w:val="superscript"/>
        </w:rPr>
        <w:footnoteReference w:id="6"/>
      </w:r>
      <w:r w:rsidRPr="00F15C89">
        <w:rPr>
          <w:rFonts w:ascii="Arial" w:eastAsia="Calibri" w:hAnsi="Arial" w:cs="Arial"/>
        </w:rPr>
        <w:t xml:space="preserve"> má podobu uvedenou v Příloze II nařízení Evropského parlamentu a Rady (ES) č. 66/2010 ze dne 25. listopadu 2009 o ekoznačce EU, v platném znění</w:t>
      </w:r>
      <w:r w:rsidR="008138CC">
        <w:rPr>
          <w:rFonts w:ascii="Arial" w:eastAsia="Calibri" w:hAnsi="Arial" w:cs="Arial"/>
        </w:rPr>
        <w:t xml:space="preserve">. </w:t>
      </w:r>
      <w:r w:rsidRPr="00F15C89">
        <w:rPr>
          <w:rFonts w:ascii="Arial" w:eastAsia="Calibri" w:hAnsi="Arial" w:cs="Arial"/>
        </w:rPr>
        <w:t>Pod logem je pro každý konkrétní výrobek vyobrazen rámeček s unikátním číslem licence certifikace v předepsaném tvaru, např: EU/yyy/zzzz, číslo licence obsahuje EU nebo konkrétní zemi původu z EU a produktovou skupinu, pro kterou byla ekoznačka udělena.</w:t>
      </w:r>
    </w:p>
    <w:p w14:paraId="659A68DF" w14:textId="77777777" w:rsidR="002A326F" w:rsidRPr="00F15C89" w:rsidRDefault="002A326F" w:rsidP="00A31CE0">
      <w:pPr>
        <w:spacing w:after="0" w:line="240" w:lineRule="auto"/>
        <w:rPr>
          <w:rFonts w:ascii="Arial" w:hAnsi="Arial" w:cs="Arial"/>
        </w:rPr>
      </w:pPr>
      <w:r w:rsidRPr="00F15C89">
        <w:rPr>
          <w:rFonts w:ascii="Arial" w:eastAsia="Calibri" w:hAnsi="Arial" w:cs="Arial"/>
        </w:rPr>
        <w:t xml:space="preserve"> </w:t>
      </w:r>
    </w:p>
    <w:p w14:paraId="6FB6159D" w14:textId="77777777" w:rsidR="002A326F" w:rsidRPr="00F15C89" w:rsidRDefault="002A326F" w:rsidP="00A31CE0">
      <w:pPr>
        <w:spacing w:after="0" w:line="240" w:lineRule="auto"/>
        <w:rPr>
          <w:rFonts w:ascii="Arial" w:eastAsia="Calibri" w:hAnsi="Arial" w:cs="Arial"/>
        </w:rPr>
      </w:pPr>
      <w:r w:rsidRPr="00F15C89">
        <w:rPr>
          <w:rFonts w:ascii="Arial" w:hAnsi="Arial" w:cs="Arial"/>
          <w:noProof/>
        </w:rPr>
        <w:drawing>
          <wp:inline distT="0" distB="0" distL="0" distR="0" wp14:anchorId="0B714A3F" wp14:editId="143A0458">
            <wp:extent cx="1189355" cy="1189355"/>
            <wp:effectExtent l="0" t="0" r="0" b="0"/>
            <wp:docPr id="1091467871" name="Obrázek 1" descr="Domovská stránka - Ekoznačk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omovská stránka - Ekoznačka.c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Pr="00F15C89">
        <w:rPr>
          <w:rFonts w:ascii="Arial" w:eastAsia="Calibri" w:hAnsi="Arial" w:cs="Arial"/>
        </w:rPr>
        <w:t xml:space="preserve"> </w:t>
      </w:r>
    </w:p>
    <w:p w14:paraId="376829BD" w14:textId="77777777" w:rsidR="002A326F" w:rsidRPr="00F15C89" w:rsidRDefault="002A326F" w:rsidP="00A31CE0">
      <w:pPr>
        <w:spacing w:after="0" w:line="240" w:lineRule="auto"/>
        <w:rPr>
          <w:rFonts w:ascii="Arial" w:hAnsi="Arial" w:cs="Arial"/>
        </w:rPr>
      </w:pPr>
    </w:p>
    <w:p w14:paraId="381EAA1F" w14:textId="7D20AE3C" w:rsidR="002A326F" w:rsidRPr="00F15C89" w:rsidRDefault="002A326F" w:rsidP="00A31CE0">
      <w:pPr>
        <w:spacing w:after="0" w:line="240" w:lineRule="auto"/>
        <w:jc w:val="both"/>
        <w:rPr>
          <w:rFonts w:ascii="Arial" w:eastAsia="Calibri" w:hAnsi="Arial" w:cs="Arial"/>
        </w:rPr>
      </w:pPr>
    </w:p>
    <w:p w14:paraId="09486C4C" w14:textId="77777777" w:rsidR="00B93214" w:rsidRPr="00F15C89" w:rsidRDefault="00B93214" w:rsidP="00A31CE0">
      <w:pPr>
        <w:spacing w:after="0" w:line="240" w:lineRule="auto"/>
        <w:rPr>
          <w:rStyle w:val="eop"/>
          <w:rFonts w:ascii="Arial" w:hAnsi="Arial" w:cs="Arial"/>
          <w:b/>
          <w:bCs/>
        </w:rPr>
      </w:pPr>
      <w:r w:rsidRPr="00F15C89">
        <w:rPr>
          <w:rStyle w:val="eop"/>
          <w:rFonts w:ascii="Arial" w:hAnsi="Arial" w:cs="Arial"/>
          <w:b/>
          <w:bCs/>
        </w:rPr>
        <w:br w:type="page"/>
      </w:r>
    </w:p>
    <w:p w14:paraId="0E49115F" w14:textId="5F4F8905" w:rsidR="00F13BB9" w:rsidRPr="00F15C89" w:rsidRDefault="00F13BB9" w:rsidP="00B46EEA">
      <w:pPr>
        <w:pStyle w:val="Nadpis1"/>
        <w:rPr>
          <w:rStyle w:val="eop"/>
          <w:rFonts w:cs="Arial"/>
          <w:sz w:val="22"/>
          <w:szCs w:val="22"/>
        </w:rPr>
      </w:pPr>
      <w:bookmarkStart w:id="3" w:name="_Toc197677978"/>
      <w:bookmarkStart w:id="4" w:name="_Toc198290965"/>
      <w:r w:rsidRPr="00F15C89">
        <w:rPr>
          <w:rStyle w:val="eop"/>
          <w:rFonts w:cs="Arial"/>
          <w:sz w:val="22"/>
          <w:szCs w:val="22"/>
        </w:rPr>
        <w:lastRenderedPageBreak/>
        <w:t>Minimální standardy OVZ pro dodávky potravin</w:t>
      </w:r>
      <w:bookmarkEnd w:id="3"/>
      <w:bookmarkEnd w:id="4"/>
      <w:r w:rsidRPr="00F15C89">
        <w:rPr>
          <w:rStyle w:val="eop"/>
          <w:rFonts w:cs="Arial"/>
          <w:sz w:val="22"/>
          <w:szCs w:val="22"/>
        </w:rPr>
        <w:t xml:space="preserve"> </w:t>
      </w:r>
    </w:p>
    <w:p w14:paraId="05243CC7" w14:textId="77777777" w:rsidR="00063ECF" w:rsidRPr="00F15C89" w:rsidRDefault="00063ECF" w:rsidP="007565F0">
      <w:pPr>
        <w:pStyle w:val="Titulek"/>
        <w:spacing w:after="0"/>
        <w:jc w:val="both"/>
        <w:rPr>
          <w:rFonts w:ascii="Arial" w:hAnsi="Arial" w:cs="Arial"/>
          <w:sz w:val="22"/>
          <w:szCs w:val="22"/>
        </w:rPr>
      </w:pPr>
      <w:bookmarkStart w:id="5" w:name="_Toc194053148"/>
    </w:p>
    <w:p w14:paraId="5C49A526" w14:textId="72E2E2D0" w:rsidR="00D10071" w:rsidRPr="00F15C89" w:rsidRDefault="00D10071" w:rsidP="007565F0">
      <w:pPr>
        <w:pStyle w:val="Titulek"/>
        <w:spacing w:after="0"/>
        <w:jc w:val="both"/>
        <w:rPr>
          <w:rStyle w:val="eop"/>
          <w:rFonts w:ascii="Arial" w:hAnsi="Arial" w:cs="Arial"/>
          <w:sz w:val="22"/>
          <w:szCs w:val="22"/>
        </w:rPr>
      </w:pPr>
      <w:r w:rsidRPr="00F15C89">
        <w:rPr>
          <w:rFonts w:ascii="Arial" w:hAnsi="Arial" w:cs="Arial"/>
          <w:sz w:val="22"/>
          <w:szCs w:val="22"/>
        </w:rPr>
        <w:t xml:space="preserve">Tabulka </w:t>
      </w:r>
      <w:r w:rsidRPr="00F15C89">
        <w:rPr>
          <w:rFonts w:ascii="Arial" w:hAnsi="Arial" w:cs="Arial"/>
          <w:sz w:val="22"/>
          <w:szCs w:val="22"/>
        </w:rPr>
        <w:fldChar w:fldCharType="begin"/>
      </w:r>
      <w:r w:rsidRPr="00F15C89">
        <w:rPr>
          <w:rFonts w:ascii="Arial" w:hAnsi="Arial" w:cs="Arial"/>
          <w:sz w:val="22"/>
          <w:szCs w:val="22"/>
        </w:rPr>
        <w:instrText xml:space="preserve"> SEQ Tabulka \* ARABIC </w:instrText>
      </w:r>
      <w:r w:rsidRPr="00F15C89">
        <w:rPr>
          <w:rFonts w:ascii="Arial" w:hAnsi="Arial" w:cs="Arial"/>
          <w:sz w:val="22"/>
          <w:szCs w:val="22"/>
        </w:rPr>
        <w:fldChar w:fldCharType="separate"/>
      </w:r>
      <w:r w:rsidRPr="00F15C89">
        <w:rPr>
          <w:rFonts w:ascii="Arial" w:hAnsi="Arial" w:cs="Arial"/>
          <w:sz w:val="22"/>
          <w:szCs w:val="22"/>
        </w:rPr>
        <w:t>2</w:t>
      </w:r>
      <w:r w:rsidRPr="00F15C89">
        <w:rPr>
          <w:rFonts w:ascii="Arial" w:hAnsi="Arial" w:cs="Arial"/>
          <w:sz w:val="22"/>
          <w:szCs w:val="22"/>
        </w:rPr>
        <w:fldChar w:fldCharType="end"/>
      </w:r>
      <w:r w:rsidR="00CB4FBB" w:rsidRPr="00F15C89">
        <w:rPr>
          <w:rFonts w:ascii="Arial" w:hAnsi="Arial" w:cs="Arial"/>
          <w:sz w:val="22"/>
          <w:szCs w:val="22"/>
        </w:rPr>
        <w:t xml:space="preserve"> </w:t>
      </w:r>
      <w:r w:rsidR="000A2BD8" w:rsidRPr="00F15C89">
        <w:rPr>
          <w:rFonts w:ascii="Arial" w:hAnsi="Arial" w:cs="Arial"/>
          <w:sz w:val="22"/>
          <w:szCs w:val="22"/>
        </w:rPr>
        <w:t xml:space="preserve">Finanční objemy VZ </w:t>
      </w:r>
      <w:r w:rsidR="002A5449" w:rsidRPr="00F15C89">
        <w:rPr>
          <w:rFonts w:ascii="Arial" w:hAnsi="Arial" w:cs="Arial"/>
          <w:sz w:val="22"/>
          <w:szCs w:val="22"/>
        </w:rPr>
        <w:t>pro d</w:t>
      </w:r>
      <w:r w:rsidR="000A2BD8" w:rsidRPr="00F15C89">
        <w:rPr>
          <w:rFonts w:ascii="Arial" w:hAnsi="Arial" w:cs="Arial"/>
          <w:sz w:val="22"/>
          <w:szCs w:val="22"/>
        </w:rPr>
        <w:t>odávky potravin</w:t>
      </w:r>
      <w:bookmarkEnd w:id="5"/>
    </w:p>
    <w:tbl>
      <w:tblPr>
        <w:tblStyle w:val="Mkatabulky"/>
        <w:tblW w:w="5382" w:type="dxa"/>
        <w:tblLook w:val="04A0" w:firstRow="1" w:lastRow="0" w:firstColumn="1" w:lastColumn="0" w:noHBand="0" w:noVBand="1"/>
      </w:tblPr>
      <w:tblGrid>
        <w:gridCol w:w="2689"/>
        <w:gridCol w:w="2693"/>
      </w:tblGrid>
      <w:tr w:rsidR="00F13BB9" w:rsidRPr="00F15C89" w14:paraId="12DA2FB3" w14:textId="77777777" w:rsidTr="00721D93">
        <w:tc>
          <w:tcPr>
            <w:tcW w:w="2689" w:type="dxa"/>
          </w:tcPr>
          <w:p w14:paraId="2E419168" w14:textId="1F97BA18" w:rsidR="00F13BB9" w:rsidRPr="00F15C89" w:rsidRDefault="00F13BB9" w:rsidP="00F35517">
            <w:pPr>
              <w:jc w:val="both"/>
              <w:rPr>
                <w:rFonts w:ascii="Arial" w:hAnsi="Arial" w:cs="Arial"/>
              </w:rPr>
            </w:pPr>
            <w:r w:rsidRPr="00F15C89">
              <w:rPr>
                <w:rFonts w:ascii="Arial" w:hAnsi="Arial" w:cs="Arial"/>
              </w:rPr>
              <w:t xml:space="preserve">Objem VZ </w:t>
            </w:r>
            <w:r w:rsidR="00A26A75" w:rsidRPr="00F15C89">
              <w:rPr>
                <w:rFonts w:ascii="Arial" w:hAnsi="Arial" w:cs="Arial"/>
              </w:rPr>
              <w:t>za</w:t>
            </w:r>
            <w:r w:rsidR="00761BF8" w:rsidRPr="00F15C89">
              <w:rPr>
                <w:rFonts w:ascii="Arial" w:hAnsi="Arial" w:cs="Arial"/>
              </w:rPr>
              <w:t xml:space="preserve"> rok </w:t>
            </w:r>
            <w:r w:rsidRPr="00F15C89">
              <w:rPr>
                <w:rFonts w:ascii="Arial" w:hAnsi="Arial" w:cs="Arial"/>
              </w:rPr>
              <w:t>2022</w:t>
            </w:r>
          </w:p>
        </w:tc>
        <w:tc>
          <w:tcPr>
            <w:tcW w:w="2693" w:type="dxa"/>
          </w:tcPr>
          <w:p w14:paraId="24740B17" w14:textId="5611ED66" w:rsidR="00F13BB9" w:rsidRPr="00F15C89" w:rsidRDefault="00F13BB9" w:rsidP="00F35517">
            <w:pPr>
              <w:jc w:val="both"/>
              <w:rPr>
                <w:rFonts w:ascii="Arial" w:hAnsi="Arial" w:cs="Arial"/>
              </w:rPr>
            </w:pPr>
            <w:r w:rsidRPr="00F15C89">
              <w:rPr>
                <w:rFonts w:ascii="Arial" w:hAnsi="Arial" w:cs="Arial"/>
              </w:rPr>
              <w:t xml:space="preserve">Objem VZ </w:t>
            </w:r>
            <w:r w:rsidR="00A26A75" w:rsidRPr="00F15C89">
              <w:rPr>
                <w:rFonts w:ascii="Arial" w:hAnsi="Arial" w:cs="Arial"/>
              </w:rPr>
              <w:t>za</w:t>
            </w:r>
            <w:r w:rsidR="00761BF8" w:rsidRPr="00F15C89">
              <w:rPr>
                <w:rFonts w:ascii="Arial" w:hAnsi="Arial" w:cs="Arial"/>
              </w:rPr>
              <w:t xml:space="preserve"> rok </w:t>
            </w:r>
            <w:r w:rsidRPr="00F15C89">
              <w:rPr>
                <w:rFonts w:ascii="Arial" w:hAnsi="Arial" w:cs="Arial"/>
              </w:rPr>
              <w:t>2023</w:t>
            </w:r>
          </w:p>
        </w:tc>
      </w:tr>
      <w:tr w:rsidR="00F13BB9" w:rsidRPr="00F15C89" w14:paraId="0778101A" w14:textId="77777777" w:rsidTr="00721D93">
        <w:tc>
          <w:tcPr>
            <w:tcW w:w="2689" w:type="dxa"/>
          </w:tcPr>
          <w:p w14:paraId="4A19B342" w14:textId="68F6F6D8" w:rsidR="00F13BB9" w:rsidRPr="00F15C89" w:rsidRDefault="00F13BB9" w:rsidP="00F35517">
            <w:pPr>
              <w:jc w:val="both"/>
              <w:rPr>
                <w:rFonts w:ascii="Arial" w:hAnsi="Arial" w:cs="Arial"/>
              </w:rPr>
            </w:pPr>
            <w:r w:rsidRPr="00F15C89">
              <w:rPr>
                <w:rFonts w:ascii="Arial" w:hAnsi="Arial" w:cs="Arial"/>
              </w:rPr>
              <w:t>0,3 mld. Kč</w:t>
            </w:r>
          </w:p>
        </w:tc>
        <w:tc>
          <w:tcPr>
            <w:tcW w:w="2693" w:type="dxa"/>
          </w:tcPr>
          <w:p w14:paraId="56FEC929" w14:textId="22DA43A5" w:rsidR="00F13BB9" w:rsidRPr="00F15C89" w:rsidRDefault="00F13BB9" w:rsidP="00F35517">
            <w:pPr>
              <w:jc w:val="both"/>
              <w:rPr>
                <w:rFonts w:ascii="Arial" w:hAnsi="Arial" w:cs="Arial"/>
              </w:rPr>
            </w:pPr>
            <w:r w:rsidRPr="00F15C89">
              <w:rPr>
                <w:rFonts w:ascii="Arial" w:hAnsi="Arial" w:cs="Arial"/>
              </w:rPr>
              <w:t>1,0 mld. Kč</w:t>
            </w:r>
          </w:p>
        </w:tc>
      </w:tr>
    </w:tbl>
    <w:p w14:paraId="79219CD2" w14:textId="77777777" w:rsidR="00ED3863" w:rsidRPr="00F15C89" w:rsidRDefault="00ED3863" w:rsidP="00F35517">
      <w:pPr>
        <w:jc w:val="both"/>
        <w:rPr>
          <w:rFonts w:ascii="Arial" w:hAnsi="Arial" w:cs="Arial"/>
          <w:i/>
        </w:rPr>
      </w:pPr>
      <w:r w:rsidRPr="00F15C89">
        <w:rPr>
          <w:rFonts w:ascii="Arial" w:hAnsi="Arial" w:cs="Arial"/>
          <w:i/>
        </w:rPr>
        <w:t>Zdroj: Věstník veřejných zakázek</w:t>
      </w:r>
    </w:p>
    <w:p w14:paraId="56778771" w14:textId="77777777" w:rsidR="00F13BB9" w:rsidRPr="00F15C89" w:rsidRDefault="00F13BB9" w:rsidP="00F35517">
      <w:pPr>
        <w:pStyle w:val="Odstavecseseznamem"/>
        <w:numPr>
          <w:ilvl w:val="0"/>
          <w:numId w:val="36"/>
        </w:numPr>
        <w:spacing w:after="0" w:line="240" w:lineRule="auto"/>
        <w:ind w:left="284" w:hanging="284"/>
        <w:jc w:val="both"/>
        <w:rPr>
          <w:rFonts w:ascii="Arial" w:hAnsi="Arial" w:cs="Arial"/>
        </w:rPr>
      </w:pPr>
      <w:r w:rsidRPr="00F15C89">
        <w:rPr>
          <w:rFonts w:ascii="Arial" w:hAnsi="Arial" w:cs="Arial"/>
        </w:rPr>
        <w:t>Podíl potravin z ekologické produkce (biopotravin)</w:t>
      </w:r>
    </w:p>
    <w:p w14:paraId="502DFA47" w14:textId="77777777" w:rsidR="009F0F17" w:rsidRPr="00F15C89" w:rsidRDefault="009F0F17" w:rsidP="00F35517">
      <w:pPr>
        <w:spacing w:after="0" w:line="240" w:lineRule="auto"/>
        <w:jc w:val="both"/>
        <w:rPr>
          <w:rFonts w:ascii="Arial" w:hAnsi="Arial" w:cs="Arial"/>
          <w:color w:val="000000" w:themeColor="text1"/>
        </w:rPr>
      </w:pPr>
    </w:p>
    <w:p w14:paraId="6B9BB9D2" w14:textId="256F04DF" w:rsidR="009F0F17" w:rsidRPr="00F15C89" w:rsidRDefault="009F0F17" w:rsidP="00D57CA6">
      <w:pPr>
        <w:spacing w:after="0" w:line="240" w:lineRule="auto"/>
        <w:ind w:firstLine="426"/>
        <w:jc w:val="both"/>
        <w:rPr>
          <w:rFonts w:ascii="Arial" w:hAnsi="Arial" w:cs="Arial"/>
        </w:rPr>
      </w:pPr>
      <w:r w:rsidRPr="00F15C89">
        <w:rPr>
          <w:rFonts w:ascii="Arial" w:hAnsi="Arial" w:cs="Arial"/>
        </w:rPr>
        <w:t>Minimální podíl biopotravin se vztahuje k celkovému finančnímu objemu veřejných zakázek na dodávky potravin pořízených v rámci kalendářního roku (nejedná se o podíl v každé jednotlivé veřejné zakázce, v každé výzvě v rámci DNS apod.)</w:t>
      </w:r>
      <w:r w:rsidR="00781B79" w:rsidRPr="00F15C89">
        <w:rPr>
          <w:rFonts w:ascii="Arial" w:hAnsi="Arial" w:cs="Arial"/>
        </w:rPr>
        <w:t xml:space="preserve">, přičemž </w:t>
      </w:r>
      <w:r w:rsidR="00EE46B1" w:rsidRPr="00F15C89">
        <w:rPr>
          <w:rFonts w:ascii="Arial" w:hAnsi="Arial" w:cs="Arial"/>
        </w:rPr>
        <w:t>je vhodné do tohoto finančního obj</w:t>
      </w:r>
      <w:r w:rsidR="00E65EE8" w:rsidRPr="00F15C89">
        <w:rPr>
          <w:rFonts w:ascii="Arial" w:hAnsi="Arial" w:cs="Arial"/>
        </w:rPr>
        <w:t>e</w:t>
      </w:r>
      <w:r w:rsidR="00EE46B1" w:rsidRPr="00F15C89">
        <w:rPr>
          <w:rFonts w:ascii="Arial" w:hAnsi="Arial" w:cs="Arial"/>
        </w:rPr>
        <w:t xml:space="preserve">mu započíst i VZMR, </w:t>
      </w:r>
      <w:r w:rsidR="00E65EE8" w:rsidRPr="00F15C89">
        <w:rPr>
          <w:rFonts w:ascii="Arial" w:hAnsi="Arial" w:cs="Arial"/>
        </w:rPr>
        <w:t xml:space="preserve">prostřednictvím kterých pořídí biopotraviny, </w:t>
      </w:r>
      <w:r w:rsidR="00EE46B1" w:rsidRPr="00F15C89">
        <w:rPr>
          <w:rFonts w:ascii="Arial" w:hAnsi="Arial" w:cs="Arial"/>
        </w:rPr>
        <w:t>i když zadavatelé nejsou</w:t>
      </w:r>
      <w:r w:rsidRPr="00F15C89">
        <w:rPr>
          <w:rFonts w:ascii="Arial" w:hAnsi="Arial" w:cs="Arial"/>
        </w:rPr>
        <w:t xml:space="preserve"> v souladu s § 31 ZZVZ povinni dodržet zásadu podle § 6 odst. 4 ZZVZ při zadávání </w:t>
      </w:r>
      <w:r w:rsidR="00EE46B1" w:rsidRPr="00F15C89">
        <w:rPr>
          <w:rFonts w:ascii="Arial" w:hAnsi="Arial" w:cs="Arial"/>
        </w:rPr>
        <w:t>VZMR</w:t>
      </w:r>
      <w:r w:rsidRPr="00F15C89">
        <w:rPr>
          <w:rFonts w:ascii="Arial" w:hAnsi="Arial" w:cs="Arial"/>
        </w:rPr>
        <w:t xml:space="preserve">. </w:t>
      </w:r>
      <w:r w:rsidR="003725CA" w:rsidRPr="00F15C89">
        <w:rPr>
          <w:rFonts w:ascii="Arial" w:hAnsi="Arial" w:cs="Arial"/>
        </w:rPr>
        <w:t>Z</w:t>
      </w:r>
      <w:r w:rsidRPr="00F15C89">
        <w:rPr>
          <w:rFonts w:ascii="Arial" w:hAnsi="Arial" w:cs="Arial"/>
        </w:rPr>
        <w:t>adavatel</w:t>
      </w:r>
      <w:r w:rsidR="003725CA" w:rsidRPr="00F15C89">
        <w:rPr>
          <w:rFonts w:ascii="Arial" w:hAnsi="Arial" w:cs="Arial"/>
        </w:rPr>
        <w:t xml:space="preserve"> </w:t>
      </w:r>
      <w:r w:rsidR="00721870" w:rsidRPr="00F15C89">
        <w:rPr>
          <w:rFonts w:ascii="Arial" w:hAnsi="Arial" w:cs="Arial"/>
        </w:rPr>
        <w:t xml:space="preserve">si pro zajištění </w:t>
      </w:r>
      <w:r w:rsidR="00580090" w:rsidRPr="00F15C89">
        <w:rPr>
          <w:rFonts w:ascii="Arial" w:hAnsi="Arial" w:cs="Arial"/>
        </w:rPr>
        <w:t xml:space="preserve">minimálního podílu biopotravin </w:t>
      </w:r>
      <w:r w:rsidR="003725CA" w:rsidRPr="00F15C89">
        <w:rPr>
          <w:rFonts w:ascii="Arial" w:hAnsi="Arial" w:cs="Arial"/>
        </w:rPr>
        <w:t>sám zvolí postup</w:t>
      </w:r>
      <w:r w:rsidR="00963B29" w:rsidRPr="00F15C89">
        <w:rPr>
          <w:rFonts w:ascii="Arial" w:hAnsi="Arial" w:cs="Arial"/>
        </w:rPr>
        <w:t>, jak minimální podíl naplnit</w:t>
      </w:r>
      <w:r w:rsidR="00BB3BB0" w:rsidRPr="00F15C89">
        <w:rPr>
          <w:rFonts w:ascii="Arial" w:hAnsi="Arial" w:cs="Arial"/>
        </w:rPr>
        <w:t xml:space="preserve">, Ministerstvo pro místní rozvoj zveřejní </w:t>
      </w:r>
      <w:r w:rsidR="00582F2E" w:rsidRPr="00F15C89">
        <w:rPr>
          <w:rFonts w:ascii="Arial" w:hAnsi="Arial" w:cs="Arial"/>
        </w:rPr>
        <w:t>možnosti postupu</w:t>
      </w:r>
      <w:r w:rsidR="003F097C" w:rsidRPr="00F15C89">
        <w:rPr>
          <w:rFonts w:ascii="Arial" w:hAnsi="Arial" w:cs="Arial"/>
        </w:rPr>
        <w:t xml:space="preserve">, ověřování a </w:t>
      </w:r>
      <w:r w:rsidR="000E20DB" w:rsidRPr="00F15C89">
        <w:rPr>
          <w:rFonts w:ascii="Arial" w:hAnsi="Arial" w:cs="Arial"/>
        </w:rPr>
        <w:t>alternativního ověřování (rovnocenných štítků)</w:t>
      </w:r>
      <w:r w:rsidR="00582F2E" w:rsidRPr="00F15C89">
        <w:rPr>
          <w:rFonts w:ascii="Arial" w:hAnsi="Arial" w:cs="Arial"/>
        </w:rPr>
        <w:t xml:space="preserve"> a textací do zadávací dokumentace a</w:t>
      </w:r>
      <w:r w:rsidR="00477383">
        <w:rPr>
          <w:rFonts w:ascii="Arial" w:hAnsi="Arial" w:cs="Arial"/>
        </w:rPr>
        <w:t> </w:t>
      </w:r>
      <w:r w:rsidR="00582F2E" w:rsidRPr="00F15C89">
        <w:rPr>
          <w:rFonts w:ascii="Arial" w:hAnsi="Arial" w:cs="Arial"/>
        </w:rPr>
        <w:t>do</w:t>
      </w:r>
      <w:r w:rsidR="00477383">
        <w:rPr>
          <w:rFonts w:ascii="Arial" w:hAnsi="Arial" w:cs="Arial"/>
        </w:rPr>
        <w:t> </w:t>
      </w:r>
      <w:r w:rsidR="00582F2E" w:rsidRPr="00F15C89">
        <w:rPr>
          <w:rFonts w:ascii="Arial" w:hAnsi="Arial" w:cs="Arial"/>
        </w:rPr>
        <w:t>smlouvy.</w:t>
      </w:r>
      <w:r w:rsidR="00963B29" w:rsidRPr="00F15C89">
        <w:rPr>
          <w:rFonts w:ascii="Arial" w:hAnsi="Arial" w:cs="Arial"/>
        </w:rPr>
        <w:t xml:space="preserve"> </w:t>
      </w:r>
    </w:p>
    <w:p w14:paraId="5034A985" w14:textId="77777777" w:rsidR="009F0F17" w:rsidRPr="00F15C89" w:rsidRDefault="009F0F17" w:rsidP="009F0F17">
      <w:pPr>
        <w:pStyle w:val="Odstavecseseznamem"/>
        <w:spacing w:after="0" w:line="240" w:lineRule="auto"/>
        <w:jc w:val="both"/>
        <w:rPr>
          <w:rFonts w:ascii="Arial" w:hAnsi="Arial" w:cs="Arial"/>
        </w:rPr>
      </w:pPr>
    </w:p>
    <w:p w14:paraId="5D620EF1" w14:textId="058A5BBF" w:rsidR="009F0F17" w:rsidRPr="00F15C89" w:rsidRDefault="009F0F17" w:rsidP="00D57CA6">
      <w:pPr>
        <w:spacing w:after="0" w:line="240" w:lineRule="auto"/>
        <w:ind w:firstLine="426"/>
        <w:jc w:val="both"/>
        <w:rPr>
          <w:rFonts w:ascii="Arial" w:hAnsi="Arial" w:cs="Arial"/>
          <w:color w:val="000000" w:themeColor="text1"/>
        </w:rPr>
      </w:pPr>
      <w:r w:rsidRPr="00F15C89">
        <w:rPr>
          <w:rFonts w:ascii="Arial" w:hAnsi="Arial" w:cs="Arial"/>
        </w:rPr>
        <w:t xml:space="preserve">Biopotraviny jsou potraviny produkované v systému ekologického zemědělství, </w:t>
      </w:r>
      <w:r w:rsidR="00477383">
        <w:rPr>
          <w:rFonts w:ascii="Arial" w:hAnsi="Arial" w:cs="Arial"/>
        </w:rPr>
        <w:t> </w:t>
      </w:r>
      <w:r w:rsidR="00477383" w:rsidRPr="00F15C89">
        <w:rPr>
          <w:rFonts w:ascii="Arial" w:hAnsi="Arial" w:cs="Arial"/>
        </w:rPr>
        <w:t>v</w:t>
      </w:r>
      <w:r w:rsidR="00477383">
        <w:rPr>
          <w:rFonts w:ascii="Arial" w:hAnsi="Arial" w:cs="Arial"/>
        </w:rPr>
        <w:t> </w:t>
      </w:r>
      <w:r w:rsidRPr="00F15C89">
        <w:rPr>
          <w:rFonts w:ascii="Arial" w:hAnsi="Arial" w:cs="Arial"/>
        </w:rPr>
        <w:t>souladu s požadavky stanovenými v zákoně č. 242/2000 Sb., o ekologickém zemědělství a o změně zákona č. 368/1992 Sb., o správních poplatcích, ve znění pozdějších předpisů (dále jen „zákon o ekologickém zemědělství“) a v nařízení  Evropského parlamentu a Rady (EU) č</w:t>
      </w:r>
      <w:r w:rsidR="00477383">
        <w:rPr>
          <w:rFonts w:ascii="Arial" w:hAnsi="Arial" w:cs="Arial"/>
        </w:rPr>
        <w:t> </w:t>
      </w:r>
      <w:r w:rsidRPr="00F15C89">
        <w:rPr>
          <w:rFonts w:ascii="Arial" w:hAnsi="Arial" w:cs="Arial"/>
        </w:rPr>
        <w:t xml:space="preserve">2018/848 </w:t>
      </w:r>
      <w:r w:rsidR="00875A20">
        <w:rPr>
          <w:rFonts w:ascii="Arial" w:hAnsi="Arial" w:cs="Arial"/>
        </w:rPr>
        <w:br/>
      </w:r>
      <w:r w:rsidRPr="00F15C89">
        <w:rPr>
          <w:rFonts w:ascii="Arial" w:hAnsi="Arial" w:cs="Arial"/>
        </w:rPr>
        <w:t>ze dne 30. května 2018 o ekologické produkci a označování ekologických produktů a o zrušení nařízení Rady (ES) č. 834/2007, ve znění pozdějších předpisů</w:t>
      </w:r>
      <w:r w:rsidRPr="00F15C89">
        <w:rPr>
          <w:rStyle w:val="Znakapoznpodarou"/>
          <w:rFonts w:ascii="Arial" w:hAnsi="Arial" w:cs="Arial"/>
          <w:vertAlign w:val="superscript"/>
        </w:rPr>
        <w:footnoteReference w:id="7"/>
      </w:r>
      <w:r w:rsidRPr="00F15C89">
        <w:rPr>
          <w:rFonts w:ascii="Arial" w:hAnsi="Arial" w:cs="Arial"/>
        </w:rPr>
        <w:t xml:space="preserve"> (dále také „nařízení </w:t>
      </w:r>
      <w:r w:rsidR="00875A20">
        <w:rPr>
          <w:rFonts w:ascii="Arial" w:hAnsi="Arial" w:cs="Arial"/>
        </w:rPr>
        <w:br/>
      </w:r>
      <w:r w:rsidRPr="00F15C89">
        <w:rPr>
          <w:rFonts w:ascii="Arial" w:hAnsi="Arial" w:cs="Arial"/>
        </w:rPr>
        <w:t>o ekologické produkci“).</w:t>
      </w:r>
    </w:p>
    <w:p w14:paraId="6A4F9693" w14:textId="57112DE9" w:rsidR="009F0F17" w:rsidRPr="00F15C89" w:rsidRDefault="006109DC" w:rsidP="00F35517">
      <w:pPr>
        <w:spacing w:after="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p>
    <w:p w14:paraId="4293DFBB" w14:textId="490C4C9B" w:rsidR="00F13BB9" w:rsidRPr="00F15C89" w:rsidRDefault="00F13BB9" w:rsidP="00D57CA6">
      <w:pPr>
        <w:spacing w:after="0" w:line="240" w:lineRule="auto"/>
        <w:ind w:firstLine="426"/>
        <w:jc w:val="both"/>
        <w:rPr>
          <w:rFonts w:ascii="Arial" w:hAnsi="Arial" w:cs="Arial"/>
        </w:rPr>
      </w:pPr>
      <w:r w:rsidRPr="00F15C89">
        <w:rPr>
          <w:rFonts w:ascii="Arial" w:hAnsi="Arial" w:cs="Arial"/>
          <w:color w:val="000000" w:themeColor="text1"/>
        </w:rPr>
        <w:t>Pro srovnání a kontext, v dalších zemích EU byly biopotraviny postupně do</w:t>
      </w:r>
      <w:r w:rsidR="005A2081" w:rsidRPr="00F15C89">
        <w:rPr>
          <w:rFonts w:ascii="Arial" w:hAnsi="Arial" w:cs="Arial"/>
          <w:color w:val="000000" w:themeColor="text1"/>
        </w:rPr>
        <w:t> </w:t>
      </w:r>
      <w:r w:rsidRPr="00F15C89">
        <w:rPr>
          <w:rFonts w:ascii="Arial" w:hAnsi="Arial" w:cs="Arial"/>
          <w:color w:val="000000" w:themeColor="text1"/>
        </w:rPr>
        <w:t>institucionálního stravování zavedeny v následujících podílech ve finančním objemu</w:t>
      </w:r>
      <w:r w:rsidR="00492740" w:rsidRPr="00F15C89">
        <w:rPr>
          <w:rFonts w:ascii="Arial" w:hAnsi="Arial" w:cs="Arial"/>
          <w:color w:val="000000" w:themeColor="text1"/>
        </w:rPr>
        <w:t xml:space="preserve">, </w:t>
      </w:r>
      <w:r w:rsidR="001B28DF" w:rsidRPr="00F15C89">
        <w:rPr>
          <w:rFonts w:ascii="Arial" w:hAnsi="Arial" w:cs="Arial"/>
          <w:color w:val="000000" w:themeColor="text1"/>
        </w:rPr>
        <w:t xml:space="preserve">kterého má dosáhnout </w:t>
      </w:r>
      <w:r w:rsidR="00BD0348" w:rsidRPr="00F15C89">
        <w:rPr>
          <w:rFonts w:ascii="Arial" w:hAnsi="Arial" w:cs="Arial"/>
          <w:color w:val="000000" w:themeColor="text1"/>
        </w:rPr>
        <w:t xml:space="preserve">jednotlivý zadavatel, </w:t>
      </w:r>
      <w:r w:rsidR="00492740" w:rsidRPr="00F15C89">
        <w:rPr>
          <w:rFonts w:ascii="Arial" w:hAnsi="Arial" w:cs="Arial"/>
          <w:color w:val="000000" w:themeColor="text1"/>
        </w:rPr>
        <w:t xml:space="preserve">který násobně </w:t>
      </w:r>
      <w:r w:rsidR="006B6473" w:rsidRPr="00F15C89">
        <w:rPr>
          <w:rFonts w:ascii="Arial" w:hAnsi="Arial" w:cs="Arial"/>
          <w:color w:val="000000" w:themeColor="text1"/>
        </w:rPr>
        <w:t xml:space="preserve">přesahuje standard navržený </w:t>
      </w:r>
      <w:r w:rsidR="00D57CA6">
        <w:rPr>
          <w:rFonts w:ascii="Arial" w:hAnsi="Arial" w:cs="Arial"/>
          <w:color w:val="000000" w:themeColor="text1"/>
        </w:rPr>
        <w:br/>
      </w:r>
      <w:r w:rsidR="006B6473" w:rsidRPr="00F15C89">
        <w:rPr>
          <w:rFonts w:ascii="Arial" w:hAnsi="Arial" w:cs="Arial"/>
          <w:color w:val="000000" w:themeColor="text1"/>
        </w:rPr>
        <w:t>pro tuzemské zadavatele:</w:t>
      </w:r>
    </w:p>
    <w:p w14:paraId="3DFACF11" w14:textId="3D07B4D3" w:rsidR="00F13BB9" w:rsidRPr="00F15C89" w:rsidRDefault="00F13BB9" w:rsidP="00F35517">
      <w:pPr>
        <w:numPr>
          <w:ilvl w:val="1"/>
          <w:numId w:val="33"/>
        </w:numPr>
        <w:tabs>
          <w:tab w:val="clear" w:pos="1440"/>
        </w:tabs>
        <w:spacing w:after="0" w:line="240" w:lineRule="auto"/>
        <w:ind w:left="709" w:hanging="305"/>
        <w:jc w:val="both"/>
        <w:rPr>
          <w:rFonts w:ascii="Arial" w:hAnsi="Arial" w:cs="Arial"/>
          <w:color w:val="000000" w:themeColor="text1"/>
        </w:rPr>
      </w:pPr>
      <w:r w:rsidRPr="00F15C89">
        <w:rPr>
          <w:rFonts w:ascii="Arial" w:hAnsi="Arial" w:cs="Arial"/>
          <w:color w:val="000000" w:themeColor="text1"/>
        </w:rPr>
        <w:t>Slovinsko:</w:t>
      </w:r>
      <w:r w:rsidR="00E77A83" w:rsidRPr="00F15C89">
        <w:rPr>
          <w:rFonts w:ascii="Arial" w:hAnsi="Arial" w:cs="Arial"/>
          <w:color w:val="000000" w:themeColor="text1"/>
        </w:rPr>
        <w:tab/>
      </w:r>
      <w:r w:rsidRPr="00F15C89">
        <w:rPr>
          <w:rFonts w:ascii="Arial" w:hAnsi="Arial" w:cs="Arial"/>
          <w:color w:val="000000" w:themeColor="text1"/>
        </w:rPr>
        <w:t>15 % (s přechodným obdobím 10 % do 2020 a 12</w:t>
      </w:r>
      <w:r w:rsidR="005A2081" w:rsidRPr="00F15C89">
        <w:rPr>
          <w:rFonts w:ascii="Arial" w:hAnsi="Arial" w:cs="Arial"/>
          <w:color w:val="000000" w:themeColor="text1"/>
        </w:rPr>
        <w:t xml:space="preserve"> </w:t>
      </w:r>
      <w:r w:rsidRPr="00F15C89">
        <w:rPr>
          <w:rFonts w:ascii="Arial" w:hAnsi="Arial" w:cs="Arial"/>
          <w:color w:val="000000" w:themeColor="text1"/>
        </w:rPr>
        <w:t>% do 2023)</w:t>
      </w:r>
    </w:p>
    <w:p w14:paraId="59E6999D" w14:textId="6BB0DFB6" w:rsidR="00F13BB9" w:rsidRPr="00F15C89" w:rsidRDefault="00F13BB9" w:rsidP="00F35517">
      <w:pPr>
        <w:numPr>
          <w:ilvl w:val="1"/>
          <w:numId w:val="33"/>
        </w:numPr>
        <w:tabs>
          <w:tab w:val="clear" w:pos="1440"/>
        </w:tabs>
        <w:spacing w:after="0" w:line="240" w:lineRule="auto"/>
        <w:ind w:left="709" w:hanging="305"/>
        <w:jc w:val="both"/>
        <w:rPr>
          <w:rFonts w:ascii="Arial" w:hAnsi="Arial" w:cs="Arial"/>
          <w:color w:val="000000" w:themeColor="text1"/>
        </w:rPr>
      </w:pPr>
      <w:r w:rsidRPr="00F15C89">
        <w:rPr>
          <w:rFonts w:ascii="Arial" w:hAnsi="Arial" w:cs="Arial"/>
          <w:color w:val="000000" w:themeColor="text1"/>
        </w:rPr>
        <w:t xml:space="preserve">Francie: </w:t>
      </w:r>
      <w:r w:rsidR="00E77A83" w:rsidRPr="00F15C89">
        <w:rPr>
          <w:rFonts w:ascii="Arial" w:hAnsi="Arial" w:cs="Arial"/>
          <w:color w:val="000000" w:themeColor="text1"/>
        </w:rPr>
        <w:tab/>
      </w:r>
      <w:r w:rsidRPr="00F15C89">
        <w:rPr>
          <w:rFonts w:ascii="Arial" w:hAnsi="Arial" w:cs="Arial"/>
          <w:color w:val="000000" w:themeColor="text1"/>
        </w:rPr>
        <w:t>20</w:t>
      </w:r>
      <w:r w:rsidR="005A2081" w:rsidRPr="00F15C89">
        <w:rPr>
          <w:rFonts w:ascii="Arial" w:hAnsi="Arial" w:cs="Arial"/>
          <w:color w:val="000000" w:themeColor="text1"/>
        </w:rPr>
        <w:t xml:space="preserve"> </w:t>
      </w:r>
      <w:r w:rsidRPr="00F15C89">
        <w:rPr>
          <w:rFonts w:ascii="Arial" w:hAnsi="Arial" w:cs="Arial"/>
          <w:color w:val="000000" w:themeColor="text1"/>
        </w:rPr>
        <w:t>% do 2022</w:t>
      </w:r>
    </w:p>
    <w:p w14:paraId="7E9FFF16" w14:textId="45D01EA6" w:rsidR="00F13BB9" w:rsidRPr="00F15C89" w:rsidRDefault="00F13BB9" w:rsidP="00F35517">
      <w:pPr>
        <w:numPr>
          <w:ilvl w:val="1"/>
          <w:numId w:val="33"/>
        </w:numPr>
        <w:tabs>
          <w:tab w:val="clear" w:pos="1440"/>
        </w:tabs>
        <w:spacing w:after="0" w:line="240" w:lineRule="auto"/>
        <w:ind w:left="709" w:hanging="305"/>
        <w:jc w:val="both"/>
        <w:rPr>
          <w:rFonts w:ascii="Arial" w:hAnsi="Arial" w:cs="Arial"/>
          <w:color w:val="000000" w:themeColor="text1"/>
        </w:rPr>
      </w:pPr>
      <w:r w:rsidRPr="00F15C89">
        <w:rPr>
          <w:rFonts w:ascii="Arial" w:hAnsi="Arial" w:cs="Arial"/>
          <w:color w:val="000000" w:themeColor="text1"/>
        </w:rPr>
        <w:t xml:space="preserve">Rakousko: </w:t>
      </w:r>
      <w:r w:rsidR="00E77A83" w:rsidRPr="00F15C89">
        <w:rPr>
          <w:rFonts w:ascii="Arial" w:hAnsi="Arial" w:cs="Arial"/>
          <w:color w:val="000000" w:themeColor="text1"/>
        </w:rPr>
        <w:tab/>
      </w:r>
      <w:r w:rsidRPr="00F15C89">
        <w:rPr>
          <w:rFonts w:ascii="Arial" w:hAnsi="Arial" w:cs="Arial"/>
          <w:color w:val="000000" w:themeColor="text1"/>
        </w:rPr>
        <w:t>25 % od 2023, 30 % od 2025 a minimálně 55 % od 2030</w:t>
      </w:r>
    </w:p>
    <w:p w14:paraId="5B09F423" w14:textId="21C9919E" w:rsidR="00F13BB9" w:rsidRPr="00F15C89" w:rsidRDefault="00F13BB9" w:rsidP="00F35517">
      <w:pPr>
        <w:numPr>
          <w:ilvl w:val="1"/>
          <w:numId w:val="33"/>
        </w:numPr>
        <w:tabs>
          <w:tab w:val="clear" w:pos="1440"/>
        </w:tabs>
        <w:spacing w:after="0" w:line="240" w:lineRule="auto"/>
        <w:ind w:left="709" w:hanging="305"/>
        <w:jc w:val="both"/>
        <w:rPr>
          <w:rFonts w:ascii="Arial" w:hAnsi="Arial" w:cs="Arial"/>
          <w:color w:val="000000" w:themeColor="text1"/>
        </w:rPr>
      </w:pPr>
      <w:r w:rsidRPr="00F15C89">
        <w:rPr>
          <w:rFonts w:ascii="Arial" w:hAnsi="Arial" w:cs="Arial"/>
          <w:color w:val="000000" w:themeColor="text1"/>
        </w:rPr>
        <w:t xml:space="preserve">Švédsko: </w:t>
      </w:r>
      <w:r w:rsidR="00E77A83" w:rsidRPr="00F15C89">
        <w:rPr>
          <w:rFonts w:ascii="Arial" w:hAnsi="Arial" w:cs="Arial"/>
          <w:color w:val="000000" w:themeColor="text1"/>
        </w:rPr>
        <w:tab/>
      </w:r>
      <w:r w:rsidRPr="00F15C89">
        <w:rPr>
          <w:rFonts w:ascii="Arial" w:hAnsi="Arial" w:cs="Arial"/>
          <w:color w:val="000000" w:themeColor="text1"/>
        </w:rPr>
        <w:t>25 % 2006</w:t>
      </w:r>
    </w:p>
    <w:p w14:paraId="27E7DA61" w14:textId="64C21544" w:rsidR="00F13BB9" w:rsidRPr="00F15C89" w:rsidRDefault="00F13BB9" w:rsidP="00F35517">
      <w:pPr>
        <w:numPr>
          <w:ilvl w:val="1"/>
          <w:numId w:val="33"/>
        </w:numPr>
        <w:tabs>
          <w:tab w:val="clear" w:pos="1440"/>
        </w:tabs>
        <w:spacing w:after="0" w:line="240" w:lineRule="auto"/>
        <w:ind w:left="709" w:hanging="305"/>
        <w:jc w:val="both"/>
        <w:rPr>
          <w:rFonts w:ascii="Arial" w:hAnsi="Arial" w:cs="Arial"/>
          <w:color w:val="000000" w:themeColor="text1"/>
        </w:rPr>
      </w:pPr>
      <w:r w:rsidRPr="00F15C89">
        <w:rPr>
          <w:rFonts w:ascii="Arial" w:hAnsi="Arial" w:cs="Arial"/>
          <w:color w:val="000000" w:themeColor="text1"/>
        </w:rPr>
        <w:t xml:space="preserve">Dánsko: </w:t>
      </w:r>
      <w:r w:rsidR="00E77A83" w:rsidRPr="00F15C89">
        <w:rPr>
          <w:rFonts w:ascii="Arial" w:hAnsi="Arial" w:cs="Arial"/>
          <w:color w:val="000000" w:themeColor="text1"/>
        </w:rPr>
        <w:tab/>
      </w:r>
      <w:r w:rsidRPr="00F15C89">
        <w:rPr>
          <w:rFonts w:ascii="Arial" w:hAnsi="Arial" w:cs="Arial"/>
          <w:color w:val="000000" w:themeColor="text1"/>
        </w:rPr>
        <w:t>60 % do 2020</w:t>
      </w:r>
    </w:p>
    <w:p w14:paraId="04B171CA" w14:textId="77777777" w:rsidR="00F13BB9" w:rsidRPr="00F15C89" w:rsidRDefault="00F13BB9" w:rsidP="00F35517">
      <w:pPr>
        <w:spacing w:after="0"/>
        <w:ind w:left="1440"/>
        <w:jc w:val="both"/>
        <w:rPr>
          <w:rFonts w:ascii="Arial" w:hAnsi="Arial" w:cs="Arial"/>
          <w:color w:val="000000" w:themeColor="text1"/>
        </w:rPr>
      </w:pPr>
    </w:p>
    <w:p w14:paraId="2E02717C" w14:textId="2341AB8A" w:rsidR="001517E4" w:rsidRPr="00F15C89" w:rsidRDefault="00F13BB9" w:rsidP="00A766EC">
      <w:pPr>
        <w:spacing w:after="0" w:line="240" w:lineRule="auto"/>
        <w:ind w:firstLine="426"/>
        <w:jc w:val="both"/>
        <w:rPr>
          <w:rFonts w:ascii="Arial" w:hAnsi="Arial" w:cs="Arial"/>
        </w:rPr>
      </w:pPr>
      <w:r w:rsidRPr="00F15C89">
        <w:rPr>
          <w:rFonts w:ascii="Arial" w:hAnsi="Arial" w:cs="Arial"/>
        </w:rPr>
        <w:t xml:space="preserve">Biopotraviny </w:t>
      </w:r>
      <w:r w:rsidR="00487626" w:rsidRPr="00F15C89">
        <w:rPr>
          <w:rFonts w:ascii="Arial" w:hAnsi="Arial" w:cs="Arial"/>
        </w:rPr>
        <w:t>(podle informací na stránkách Ministerstva zemědělství)</w:t>
      </w:r>
      <w:r w:rsidRPr="00F15C89">
        <w:rPr>
          <w:rFonts w:ascii="Arial" w:hAnsi="Arial" w:cs="Arial"/>
        </w:rPr>
        <w:t xml:space="preserve"> patří mezi produkty vysoké kvalitativní úrovně, produkované bez chemie a</w:t>
      </w:r>
      <w:r w:rsidR="005A2081" w:rsidRPr="00F15C89">
        <w:rPr>
          <w:rFonts w:ascii="Arial" w:hAnsi="Arial" w:cs="Arial"/>
        </w:rPr>
        <w:t> </w:t>
      </w:r>
      <w:r w:rsidRPr="00F15C89">
        <w:rPr>
          <w:rFonts w:ascii="Arial" w:hAnsi="Arial" w:cs="Arial"/>
        </w:rPr>
        <w:t>s ohledem na</w:t>
      </w:r>
      <w:r w:rsidR="00D30FF0" w:rsidRPr="00F15C89">
        <w:rPr>
          <w:rFonts w:ascii="Arial" w:hAnsi="Arial" w:cs="Arial"/>
        </w:rPr>
        <w:t> </w:t>
      </w:r>
      <w:r w:rsidRPr="00F15C89">
        <w:rPr>
          <w:rFonts w:ascii="Arial" w:hAnsi="Arial" w:cs="Arial"/>
        </w:rPr>
        <w:t xml:space="preserve">biodiverzitu </w:t>
      </w:r>
      <w:r w:rsidR="00477383" w:rsidRPr="00F15C89">
        <w:rPr>
          <w:rFonts w:ascii="Arial" w:hAnsi="Arial" w:cs="Arial"/>
        </w:rPr>
        <w:t>a</w:t>
      </w:r>
      <w:r w:rsidR="00477383">
        <w:rPr>
          <w:rFonts w:ascii="Arial" w:hAnsi="Arial" w:cs="Arial"/>
        </w:rPr>
        <w:t> </w:t>
      </w:r>
      <w:r w:rsidRPr="00F15C89">
        <w:rPr>
          <w:rFonts w:ascii="Arial" w:hAnsi="Arial" w:cs="Arial"/>
        </w:rPr>
        <w:t>krajinu. Biopotraviny jsou vyráběny z co možná nejkvalitnějších surovin, bez nepřírodních konzervantů, barviv či dochucovadel. Musí být pečlivě zpracovávány, pokud možno za použití biologických, mechanických a</w:t>
      </w:r>
      <w:r w:rsidR="005A2081" w:rsidRPr="00F15C89">
        <w:rPr>
          <w:rFonts w:ascii="Arial" w:hAnsi="Arial" w:cs="Arial"/>
        </w:rPr>
        <w:t> </w:t>
      </w:r>
      <w:r w:rsidRPr="00F15C89">
        <w:rPr>
          <w:rFonts w:ascii="Arial" w:hAnsi="Arial" w:cs="Arial"/>
        </w:rPr>
        <w:t>fyzikálních postupů – tedy v zásadě tradičním způsobem. Biopotravin</w:t>
      </w:r>
      <w:r w:rsidR="00DE5B02" w:rsidRPr="00F15C89">
        <w:rPr>
          <w:rFonts w:ascii="Arial" w:hAnsi="Arial" w:cs="Arial"/>
        </w:rPr>
        <w:t>y</w:t>
      </w:r>
      <w:r w:rsidRPr="00F15C89">
        <w:rPr>
          <w:rFonts w:ascii="Arial" w:hAnsi="Arial" w:cs="Arial"/>
        </w:rPr>
        <w:t xml:space="preserve"> neobsahuj</w:t>
      </w:r>
      <w:r w:rsidR="00DE5B02" w:rsidRPr="00F15C89">
        <w:rPr>
          <w:rFonts w:ascii="Arial" w:hAnsi="Arial" w:cs="Arial"/>
        </w:rPr>
        <w:t>í</w:t>
      </w:r>
      <w:r w:rsidRPr="00F15C89">
        <w:rPr>
          <w:rFonts w:ascii="Arial" w:hAnsi="Arial" w:cs="Arial"/>
        </w:rPr>
        <w:t xml:space="preserve"> agrochemické látky a mnohé biopotraviny mají velmi zajímavé výživové parametry ve srovnání s konvenční produkcí. Například biomléko obsahuje více omega-3-mastných kyselin, bio ovoce nebo zelenina mají vyšší obsah látek významných </w:t>
      </w:r>
      <w:r w:rsidR="00477383" w:rsidRPr="00F15C89">
        <w:rPr>
          <w:rFonts w:ascii="Arial" w:hAnsi="Arial" w:cs="Arial"/>
        </w:rPr>
        <w:t>pro</w:t>
      </w:r>
      <w:r w:rsidR="00477383">
        <w:rPr>
          <w:rFonts w:ascii="Arial" w:hAnsi="Arial" w:cs="Arial"/>
        </w:rPr>
        <w:t> </w:t>
      </w:r>
      <w:r w:rsidRPr="00F15C89">
        <w:rPr>
          <w:rFonts w:ascii="Arial" w:hAnsi="Arial" w:cs="Arial"/>
        </w:rPr>
        <w:t>lidské zdraví, např.</w:t>
      </w:r>
      <w:r w:rsidR="00D30FF0" w:rsidRPr="00F15C89">
        <w:rPr>
          <w:rFonts w:ascii="Arial" w:hAnsi="Arial" w:cs="Arial"/>
        </w:rPr>
        <w:t> </w:t>
      </w:r>
      <w:r w:rsidRPr="00F15C89">
        <w:rPr>
          <w:rFonts w:ascii="Arial" w:hAnsi="Arial" w:cs="Arial"/>
        </w:rPr>
        <w:t>flavonoidů a jiných polyfenolů. Naopak obsahují až o 50</w:t>
      </w:r>
      <w:r w:rsidR="00B96ABB" w:rsidRPr="00F15C89">
        <w:rPr>
          <w:rFonts w:ascii="Arial" w:hAnsi="Arial" w:cs="Arial"/>
        </w:rPr>
        <w:t xml:space="preserve"> </w:t>
      </w:r>
      <w:r w:rsidRPr="00F15C89">
        <w:rPr>
          <w:rFonts w:ascii="Arial" w:hAnsi="Arial" w:cs="Arial"/>
        </w:rPr>
        <w:t>% méně škodlivých dusičnanů. Je také prokázáno, že ekologický chov drůbeže zvyšuje obsah vitaminů a</w:t>
      </w:r>
      <w:r w:rsidR="005A2081" w:rsidRPr="00F15C89">
        <w:rPr>
          <w:rFonts w:ascii="Arial" w:hAnsi="Arial" w:cs="Arial"/>
        </w:rPr>
        <w:t> </w:t>
      </w:r>
      <w:r w:rsidRPr="00F15C89">
        <w:rPr>
          <w:rFonts w:ascii="Arial" w:hAnsi="Arial" w:cs="Arial"/>
        </w:rPr>
        <w:t xml:space="preserve">karotenoidů ve vejcích. </w:t>
      </w:r>
      <w:r w:rsidR="00517E12" w:rsidRPr="00F15C89">
        <w:rPr>
          <w:rFonts w:ascii="Arial" w:hAnsi="Arial" w:cs="Arial"/>
        </w:rPr>
        <w:t>P</w:t>
      </w:r>
      <w:r w:rsidRPr="00F15C89">
        <w:rPr>
          <w:rFonts w:ascii="Arial" w:hAnsi="Arial" w:cs="Arial"/>
        </w:rPr>
        <w:t xml:space="preserve">ůvod </w:t>
      </w:r>
      <w:r w:rsidR="00517E12" w:rsidRPr="00F15C89">
        <w:rPr>
          <w:rFonts w:ascii="Arial" w:hAnsi="Arial" w:cs="Arial"/>
        </w:rPr>
        <w:t xml:space="preserve">biopotravin </w:t>
      </w:r>
      <w:r w:rsidRPr="00F15C89">
        <w:rPr>
          <w:rFonts w:ascii="Arial" w:hAnsi="Arial" w:cs="Arial"/>
        </w:rPr>
        <w:t xml:space="preserve">je důsledně kontrolován. </w:t>
      </w:r>
    </w:p>
    <w:p w14:paraId="5C2306B0" w14:textId="77777777" w:rsidR="001517E4" w:rsidRPr="00F15C89" w:rsidRDefault="001517E4" w:rsidP="00F35517">
      <w:pPr>
        <w:spacing w:after="0" w:line="240" w:lineRule="auto"/>
        <w:ind w:firstLine="708"/>
        <w:jc w:val="both"/>
        <w:rPr>
          <w:rFonts w:ascii="Arial" w:hAnsi="Arial" w:cs="Arial"/>
        </w:rPr>
      </w:pPr>
    </w:p>
    <w:p w14:paraId="6831357C" w14:textId="51B7A3D4" w:rsidR="00F13BB9" w:rsidRPr="00F15C89" w:rsidRDefault="00F13BB9" w:rsidP="002819A1">
      <w:pPr>
        <w:spacing w:after="0" w:line="240" w:lineRule="auto"/>
        <w:ind w:firstLine="426"/>
        <w:jc w:val="both"/>
        <w:rPr>
          <w:rFonts w:ascii="Arial" w:hAnsi="Arial" w:cs="Arial"/>
        </w:rPr>
      </w:pPr>
      <w:r w:rsidRPr="00F15C89">
        <w:rPr>
          <w:rFonts w:ascii="Arial" w:hAnsi="Arial" w:cs="Arial"/>
        </w:rPr>
        <w:lastRenderedPageBreak/>
        <w:t>Spotřebou biopotravin je podporováno k přírodě velmi šetrné ekologické zemědělství.</w:t>
      </w:r>
      <w:r w:rsidR="001517E4" w:rsidRPr="00F15C89">
        <w:rPr>
          <w:rFonts w:ascii="Arial" w:hAnsi="Arial" w:cs="Arial"/>
        </w:rPr>
        <w:t xml:space="preserve"> </w:t>
      </w:r>
      <w:r w:rsidR="0055667A" w:rsidRPr="00F15C89">
        <w:rPr>
          <w:rFonts w:ascii="Arial" w:hAnsi="Arial" w:cs="Arial"/>
        </w:rPr>
        <w:t>P</w:t>
      </w:r>
      <w:r w:rsidRPr="00F15C89">
        <w:rPr>
          <w:rFonts w:ascii="Arial" w:hAnsi="Arial" w:cs="Arial"/>
          <w:shd w:val="clear" w:color="auto" w:fill="FFFFFF"/>
        </w:rPr>
        <w:t xml:space="preserve">odle webového portálu Ministerstva zemědělství eAGRI je ekologické zemědělství moderní formou zemědělské výroby, jehož smyslem je produkce zdravých a kvalitních potravin bez reziduí agrochemických látek, hormonů a léčiv, produkovaných trvale udržitelným způsobem. Pracuje s nejmodernějšími vědeckými poznatky ve spojení s osvědčenými tradičními postupy, mezi něž patří zejména postupy zamezující poškozování půdy a široká biodiverzita v krajině, vyloučeno je použití agrochemikálií a geneticky modifikovaných </w:t>
      </w:r>
      <w:r w:rsidR="00D30FF0" w:rsidRPr="00F15C89">
        <w:rPr>
          <w:rFonts w:ascii="Arial" w:hAnsi="Arial" w:cs="Arial"/>
          <w:shd w:val="clear" w:color="auto" w:fill="FFFFFF"/>
        </w:rPr>
        <w:t>organismů</w:t>
      </w:r>
      <w:r w:rsidRPr="00F15C89">
        <w:rPr>
          <w:rFonts w:ascii="Arial" w:hAnsi="Arial" w:cs="Arial"/>
          <w:shd w:val="clear" w:color="auto" w:fill="FFFFFF"/>
        </w:rPr>
        <w:t xml:space="preserve"> (GMO). Ekologické zemědělství poskytuje celou řadu významných a vyčíslitelných ekosystémových služeb např. v podobě zvyšování retence vody v krajině či snižování nákladů na čištění vod, neboť nezatěžuje životní prostředí agrochemickými látkami. Zároveň svým přístupem zajišťuje nadstandardní životní podmínky chovaných zvířat, odpovídající co nejvíce jejich přirozeným potřebám. Ekologické zemědělství je schopno zajistit dostatečné výnosy i v období nepříznivých klimatických změn.</w:t>
      </w:r>
      <w:r w:rsidRPr="00F15C89">
        <w:rPr>
          <w:rFonts w:ascii="Arial" w:hAnsi="Arial" w:cs="Arial"/>
        </w:rPr>
        <w:t xml:space="preserve"> </w:t>
      </w:r>
    </w:p>
    <w:p w14:paraId="42DDD13B" w14:textId="77777777" w:rsidR="00F13BB9" w:rsidRPr="00F15C89" w:rsidRDefault="00F13BB9" w:rsidP="00F35517">
      <w:pPr>
        <w:spacing w:after="0" w:line="240" w:lineRule="auto"/>
        <w:jc w:val="both"/>
        <w:rPr>
          <w:rFonts w:ascii="Arial" w:hAnsi="Arial" w:cs="Arial"/>
        </w:rPr>
      </w:pPr>
    </w:p>
    <w:p w14:paraId="52B08F96" w14:textId="59EAC454" w:rsidR="00F13BB9" w:rsidRPr="00F15C89" w:rsidRDefault="00F13BB9" w:rsidP="002819A1">
      <w:pPr>
        <w:spacing w:after="0" w:line="240" w:lineRule="auto"/>
        <w:ind w:firstLine="426"/>
        <w:jc w:val="both"/>
        <w:rPr>
          <w:rFonts w:ascii="Arial" w:hAnsi="Arial" w:cs="Arial"/>
        </w:rPr>
      </w:pPr>
      <w:r w:rsidRPr="00F15C89">
        <w:rPr>
          <w:rFonts w:ascii="Arial" w:hAnsi="Arial" w:cs="Arial"/>
        </w:rPr>
        <w:t>Na stránkách My jsme bio</w:t>
      </w:r>
      <w:r w:rsidRPr="00F15C89">
        <w:rPr>
          <w:rStyle w:val="Znakapoznpodarou"/>
          <w:rFonts w:ascii="Arial" w:hAnsi="Arial" w:cs="Arial"/>
          <w:vertAlign w:val="superscript"/>
        </w:rPr>
        <w:footnoteReference w:id="8"/>
      </w:r>
      <w:r w:rsidRPr="00F15C89">
        <w:rPr>
          <w:rFonts w:ascii="Arial" w:hAnsi="Arial" w:cs="Arial"/>
          <w:vertAlign w:val="superscript"/>
        </w:rPr>
        <w:t xml:space="preserve"> </w:t>
      </w:r>
      <w:r w:rsidRPr="00F15C89">
        <w:rPr>
          <w:rFonts w:ascii="Arial" w:hAnsi="Arial" w:cs="Arial"/>
        </w:rPr>
        <w:t>S</w:t>
      </w:r>
      <w:r w:rsidR="006570CA" w:rsidRPr="00F15C89">
        <w:rPr>
          <w:rFonts w:ascii="Arial" w:hAnsi="Arial" w:cs="Arial"/>
        </w:rPr>
        <w:t>tátní</w:t>
      </w:r>
      <w:r w:rsidR="00817FA1" w:rsidRPr="00F15C89">
        <w:rPr>
          <w:rFonts w:ascii="Arial" w:hAnsi="Arial" w:cs="Arial"/>
        </w:rPr>
        <w:t>ho</w:t>
      </w:r>
      <w:r w:rsidR="006570CA" w:rsidRPr="00F15C89">
        <w:rPr>
          <w:rFonts w:ascii="Arial" w:hAnsi="Arial" w:cs="Arial"/>
        </w:rPr>
        <w:t xml:space="preserve"> </w:t>
      </w:r>
      <w:r w:rsidR="000A2F70" w:rsidRPr="00F15C89">
        <w:rPr>
          <w:rFonts w:ascii="Arial" w:hAnsi="Arial" w:cs="Arial"/>
        </w:rPr>
        <w:t>zemědělsk</w:t>
      </w:r>
      <w:r w:rsidR="00817FA1" w:rsidRPr="00F15C89">
        <w:rPr>
          <w:rFonts w:ascii="Arial" w:hAnsi="Arial" w:cs="Arial"/>
        </w:rPr>
        <w:t>ého</w:t>
      </w:r>
      <w:r w:rsidR="000A2F70" w:rsidRPr="00F15C89">
        <w:rPr>
          <w:rFonts w:ascii="Arial" w:hAnsi="Arial" w:cs="Arial"/>
        </w:rPr>
        <w:t xml:space="preserve"> intervenční</w:t>
      </w:r>
      <w:r w:rsidR="00817FA1" w:rsidRPr="00F15C89">
        <w:rPr>
          <w:rFonts w:ascii="Arial" w:hAnsi="Arial" w:cs="Arial"/>
        </w:rPr>
        <w:t>ho</w:t>
      </w:r>
      <w:r w:rsidR="000A2F70" w:rsidRPr="00F15C89">
        <w:rPr>
          <w:rFonts w:ascii="Arial" w:hAnsi="Arial" w:cs="Arial"/>
        </w:rPr>
        <w:t xml:space="preserve"> fond</w:t>
      </w:r>
      <w:r w:rsidR="00817FA1" w:rsidRPr="00F15C89">
        <w:rPr>
          <w:rFonts w:ascii="Arial" w:hAnsi="Arial" w:cs="Arial"/>
        </w:rPr>
        <w:t>u</w:t>
      </w:r>
      <w:r w:rsidRPr="00F15C89">
        <w:rPr>
          <w:rFonts w:ascii="Arial" w:hAnsi="Arial" w:cs="Arial"/>
        </w:rPr>
        <w:t xml:space="preserve"> byly zveřejněny informace z průzkumu Svazu ekologických zemědělců PRO-BIO realizovaného prostřednictvím aplikace Instant Research agentury Ipsos realizovaného na 1031 respondentech. Z průzkumu vyplynulo, že pro více než 70 % dotázaných je původ potravin důležitý, protože jej vnímají jako záruku kvality a</w:t>
      </w:r>
      <w:r w:rsidR="00585D90" w:rsidRPr="00F15C89">
        <w:rPr>
          <w:rFonts w:ascii="Arial" w:hAnsi="Arial" w:cs="Arial"/>
        </w:rPr>
        <w:t> </w:t>
      </w:r>
      <w:r w:rsidRPr="00F15C89">
        <w:rPr>
          <w:rFonts w:ascii="Arial" w:hAnsi="Arial" w:cs="Arial"/>
        </w:rPr>
        <w:t>čerstvosti. Každý druhý by uvítal pestřejší jídelníček, který by zahrnoval pokrmy připravené z kvalitních surovin, například v kvalitě BIO. Podle průzkumu by si více než polovina dotázaných byla ochotna připlatit za kvalitnější jídlo, nejčastěji do 10 % ceny porce.</w:t>
      </w:r>
    </w:p>
    <w:p w14:paraId="5A814E73" w14:textId="77777777" w:rsidR="00F13BB9" w:rsidRPr="00F15C89" w:rsidRDefault="00F13BB9" w:rsidP="00F35517">
      <w:pPr>
        <w:spacing w:after="0" w:line="240" w:lineRule="auto"/>
        <w:ind w:firstLine="708"/>
        <w:jc w:val="both"/>
        <w:rPr>
          <w:rFonts w:ascii="Arial" w:hAnsi="Arial" w:cs="Arial"/>
        </w:rPr>
      </w:pPr>
    </w:p>
    <w:p w14:paraId="3A5D0C2D" w14:textId="0CAF34F1" w:rsidR="006515EB" w:rsidRPr="00F15C89" w:rsidRDefault="00F13BB9" w:rsidP="002819A1">
      <w:pPr>
        <w:spacing w:after="0" w:line="240" w:lineRule="auto"/>
        <w:ind w:firstLine="426"/>
        <w:jc w:val="both"/>
        <w:rPr>
          <w:rFonts w:ascii="Arial" w:hAnsi="Arial" w:cs="Arial"/>
        </w:rPr>
      </w:pPr>
      <w:r w:rsidRPr="00F15C89">
        <w:rPr>
          <w:rFonts w:ascii="Arial" w:hAnsi="Arial" w:cs="Arial"/>
        </w:rPr>
        <w:t xml:space="preserve">Co se týče vyčíslení předpokládaných finančních dopadů zařazení podílu biopotravin </w:t>
      </w:r>
      <w:r w:rsidR="002819A1">
        <w:rPr>
          <w:rFonts w:ascii="Arial" w:hAnsi="Arial" w:cs="Arial"/>
        </w:rPr>
        <w:br/>
      </w:r>
      <w:r w:rsidRPr="00F15C89">
        <w:rPr>
          <w:rFonts w:ascii="Arial" w:hAnsi="Arial" w:cs="Arial"/>
        </w:rPr>
        <w:t>do veřejných zakázek (v objemu 5 % finančního objemu veřejných zakázek za období kalendářního roku), byly vytvořeny ve spolupráci s doc. Ing. Janem Moudrým, Ph.D. z katedry agroekosystémů Jihočeské univerzity v Českých Budějovicích modelové scénáře s využitím vybraných skupin bioproduktů</w:t>
      </w:r>
      <w:r w:rsidR="006D236B" w:rsidRPr="00F15C89">
        <w:rPr>
          <w:rFonts w:ascii="Arial" w:hAnsi="Arial" w:cs="Arial"/>
        </w:rPr>
        <w:t>:</w:t>
      </w:r>
    </w:p>
    <w:p w14:paraId="0FB5F69A" w14:textId="77777777" w:rsidR="006D236B" w:rsidRPr="00F15C89" w:rsidRDefault="006D236B" w:rsidP="00F35517">
      <w:pPr>
        <w:spacing w:after="0" w:line="240" w:lineRule="auto"/>
        <w:ind w:firstLine="708"/>
        <w:jc w:val="both"/>
        <w:rPr>
          <w:rFonts w:ascii="Arial" w:hAnsi="Arial" w:cs="Arial"/>
        </w:rPr>
      </w:pPr>
    </w:p>
    <w:p w14:paraId="430AC2DD" w14:textId="3DF94E0E"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Pro vyčíslení předpokládaných finančních dopadů zařazení podílu biopotravin do veřejných zakázek (</w:t>
      </w:r>
      <w:r w:rsidR="008F5317" w:rsidRPr="00F15C89">
        <w:rPr>
          <w:rFonts w:ascii="Arial" w:hAnsi="Arial" w:cs="Arial"/>
          <w:i/>
          <w:iCs/>
        </w:rPr>
        <w:t xml:space="preserve">odpovídající </w:t>
      </w:r>
      <w:r w:rsidRPr="00F15C89">
        <w:rPr>
          <w:rFonts w:ascii="Arial" w:hAnsi="Arial" w:cs="Arial"/>
          <w:i/>
          <w:iCs/>
        </w:rPr>
        <w:t xml:space="preserve">5 % </w:t>
      </w:r>
      <w:r w:rsidR="00D0320F" w:rsidRPr="00F15C89">
        <w:rPr>
          <w:rFonts w:ascii="Arial" w:hAnsi="Arial" w:cs="Arial"/>
          <w:i/>
          <w:iCs/>
        </w:rPr>
        <w:t>finančního objemu</w:t>
      </w:r>
      <w:r w:rsidRPr="00F15C89">
        <w:rPr>
          <w:rFonts w:ascii="Arial" w:hAnsi="Arial" w:cs="Arial"/>
          <w:i/>
          <w:iCs/>
        </w:rPr>
        <w:t>), byly vytvořeny modelové scénáře s využitím vybraných skupin biop</w:t>
      </w:r>
      <w:r w:rsidR="00665174" w:rsidRPr="00F15C89">
        <w:rPr>
          <w:rFonts w:ascii="Arial" w:hAnsi="Arial" w:cs="Arial"/>
          <w:i/>
          <w:iCs/>
        </w:rPr>
        <w:t>otravin</w:t>
      </w:r>
      <w:r w:rsidRPr="00F15C89">
        <w:rPr>
          <w:rFonts w:ascii="Arial" w:hAnsi="Arial" w:cs="Arial"/>
          <w:i/>
          <w:iCs/>
        </w:rPr>
        <w:t>.</w:t>
      </w:r>
    </w:p>
    <w:p w14:paraId="0EE27AF8" w14:textId="77777777" w:rsidR="006515EB" w:rsidRPr="00F15C89" w:rsidRDefault="006515EB" w:rsidP="00771372">
      <w:pPr>
        <w:spacing w:after="0" w:line="240" w:lineRule="auto"/>
        <w:ind w:left="284"/>
        <w:jc w:val="both"/>
        <w:rPr>
          <w:rFonts w:ascii="Arial" w:hAnsi="Arial" w:cs="Arial"/>
          <w:i/>
          <w:iCs/>
        </w:rPr>
      </w:pPr>
    </w:p>
    <w:p w14:paraId="2194380A" w14:textId="5CB1F4D1"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Pro výpočty byla použita data od dodavatelů konvenčního a bio mléka</w:t>
      </w:r>
      <w:r w:rsidR="00B70835" w:rsidRPr="00F15C89">
        <w:rPr>
          <w:rFonts w:ascii="Arial" w:hAnsi="Arial" w:cs="Arial"/>
          <w:i/>
          <w:iCs/>
        </w:rPr>
        <w:t>, brambor</w:t>
      </w:r>
      <w:r w:rsidRPr="00F15C89">
        <w:rPr>
          <w:rFonts w:ascii="Arial" w:hAnsi="Arial" w:cs="Arial"/>
          <w:i/>
          <w:iCs/>
        </w:rPr>
        <w:t xml:space="preserve"> a hovězího masa z prvního čtvrtletí roku 2025, dále údaje od veřejných stravovacích zařízení (cenové hladiny nákupu konvenční produkce a bioproduktů) získané v průběhu listopadu 2024 až </w:t>
      </w:r>
      <w:r w:rsidR="00D53026" w:rsidRPr="00F15C89">
        <w:rPr>
          <w:rFonts w:ascii="Arial" w:hAnsi="Arial" w:cs="Arial"/>
          <w:i/>
          <w:iCs/>
        </w:rPr>
        <w:t>března</w:t>
      </w:r>
      <w:r w:rsidRPr="00F15C89">
        <w:rPr>
          <w:rFonts w:ascii="Arial" w:hAnsi="Arial" w:cs="Arial"/>
          <w:i/>
          <w:iCs/>
        </w:rPr>
        <w:t xml:space="preserve"> 2025 a doplňující údaje z projektu NAZV QL24020332 - Potenciál uplatnění bioprodukce a místní produkce v rámci udržitelného veřejného stravování (</w:t>
      </w:r>
      <w:r w:rsidR="00665174" w:rsidRPr="00F15C89">
        <w:rPr>
          <w:rFonts w:ascii="Arial" w:hAnsi="Arial" w:cs="Arial"/>
          <w:i/>
          <w:iCs/>
        </w:rPr>
        <w:t xml:space="preserve">se </w:t>
      </w:r>
      <w:r w:rsidRPr="00F15C89">
        <w:rPr>
          <w:rFonts w:ascii="Arial" w:hAnsi="Arial" w:cs="Arial"/>
          <w:i/>
          <w:iCs/>
        </w:rPr>
        <w:t>začátk</w:t>
      </w:r>
      <w:r w:rsidR="00665174" w:rsidRPr="00F15C89">
        <w:rPr>
          <w:rFonts w:ascii="Arial" w:hAnsi="Arial" w:cs="Arial"/>
          <w:i/>
          <w:iCs/>
        </w:rPr>
        <w:t>em</w:t>
      </w:r>
      <w:r w:rsidRPr="00F15C89">
        <w:rPr>
          <w:rFonts w:ascii="Arial" w:hAnsi="Arial" w:cs="Arial"/>
          <w:i/>
          <w:iCs/>
        </w:rPr>
        <w:t xml:space="preserve"> řešení projektu v dubnu 2024).</w:t>
      </w:r>
    </w:p>
    <w:p w14:paraId="4E369719" w14:textId="77777777" w:rsidR="006515EB" w:rsidRPr="00F15C89" w:rsidRDefault="006515EB" w:rsidP="00771372">
      <w:pPr>
        <w:spacing w:after="0" w:line="240" w:lineRule="auto"/>
        <w:ind w:left="284"/>
        <w:jc w:val="both"/>
        <w:rPr>
          <w:rFonts w:ascii="Arial" w:hAnsi="Arial" w:cs="Arial"/>
          <w:i/>
          <w:iCs/>
        </w:rPr>
      </w:pPr>
    </w:p>
    <w:p w14:paraId="1F4F6E27" w14:textId="7FED5646"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 xml:space="preserve">Pro výpočet byly </w:t>
      </w:r>
      <w:r w:rsidR="00721DC6" w:rsidRPr="00F15C89">
        <w:rPr>
          <w:rFonts w:ascii="Arial" w:hAnsi="Arial" w:cs="Arial"/>
          <w:i/>
          <w:iCs/>
        </w:rPr>
        <w:t>po</w:t>
      </w:r>
      <w:r w:rsidRPr="00F15C89">
        <w:rPr>
          <w:rFonts w:ascii="Arial" w:hAnsi="Arial" w:cs="Arial"/>
          <w:i/>
          <w:iCs/>
        </w:rPr>
        <w:t xml:space="preserve">užity komodity, u nichž je potenciál vyššího využití v rámci </w:t>
      </w:r>
      <w:r w:rsidR="00721DC6" w:rsidRPr="00F15C89">
        <w:rPr>
          <w:rFonts w:ascii="Arial" w:hAnsi="Arial" w:cs="Arial"/>
          <w:i/>
          <w:iCs/>
        </w:rPr>
        <w:t>institucionálního stravování</w:t>
      </w:r>
      <w:r w:rsidRPr="00F15C89">
        <w:rPr>
          <w:rFonts w:ascii="Arial" w:hAnsi="Arial" w:cs="Arial"/>
          <w:i/>
          <w:iCs/>
        </w:rPr>
        <w:t xml:space="preserve"> a zároveň jsou dobře dostupné v rámci tuzemské produkce</w:t>
      </w:r>
      <w:r w:rsidR="003444CD" w:rsidRPr="00F15C89">
        <w:rPr>
          <w:rFonts w:ascii="Arial" w:hAnsi="Arial" w:cs="Arial"/>
          <w:i/>
          <w:iCs/>
        </w:rPr>
        <w:t>, přitom je třeba brát v potaz:</w:t>
      </w:r>
    </w:p>
    <w:p w14:paraId="4541A05D" w14:textId="7D4208B3" w:rsidR="006515EB" w:rsidRPr="00F15C89" w:rsidRDefault="006515EB" w:rsidP="00771372">
      <w:pPr>
        <w:spacing w:after="0" w:line="240" w:lineRule="auto"/>
        <w:ind w:left="284"/>
        <w:jc w:val="both"/>
        <w:rPr>
          <w:rFonts w:ascii="Arial" w:hAnsi="Arial" w:cs="Arial"/>
          <w:i/>
          <w:iCs/>
        </w:rPr>
      </w:pPr>
    </w:p>
    <w:p w14:paraId="01B1F398" w14:textId="65C8D725" w:rsidR="006515EB" w:rsidRPr="00F15C89" w:rsidRDefault="006515EB" w:rsidP="002455CC">
      <w:pPr>
        <w:pStyle w:val="Odstavecseseznamem"/>
        <w:numPr>
          <w:ilvl w:val="0"/>
          <w:numId w:val="31"/>
        </w:numPr>
        <w:spacing w:after="0" w:line="240" w:lineRule="auto"/>
        <w:ind w:left="567" w:hanging="283"/>
        <w:jc w:val="both"/>
        <w:rPr>
          <w:rFonts w:ascii="Arial" w:hAnsi="Arial" w:cs="Arial"/>
          <w:i/>
          <w:iCs/>
        </w:rPr>
      </w:pPr>
      <w:r w:rsidRPr="00F15C89">
        <w:rPr>
          <w:rFonts w:ascii="Arial" w:hAnsi="Arial" w:cs="Arial"/>
          <w:i/>
          <w:iCs/>
        </w:rPr>
        <w:t>většina hovězího masa vyprodukovaného v ekologickém zemědělství se v současnosti na trhu neuplatňuje jako bio</w:t>
      </w:r>
      <w:r w:rsidR="00CC7114" w:rsidRPr="00F15C89">
        <w:rPr>
          <w:rFonts w:ascii="Arial" w:hAnsi="Arial" w:cs="Arial"/>
          <w:i/>
          <w:iCs/>
        </w:rPr>
        <w:t>potravina</w:t>
      </w:r>
    </w:p>
    <w:p w14:paraId="6EB54785" w14:textId="181A0E94" w:rsidR="00907884" w:rsidRPr="00F15C89" w:rsidRDefault="00907884" w:rsidP="0016678B">
      <w:pPr>
        <w:pStyle w:val="Odstavecseseznamem"/>
        <w:numPr>
          <w:ilvl w:val="0"/>
          <w:numId w:val="31"/>
        </w:numPr>
        <w:spacing w:after="0" w:line="240" w:lineRule="auto"/>
        <w:ind w:left="567" w:hanging="283"/>
        <w:jc w:val="both"/>
        <w:rPr>
          <w:rFonts w:ascii="Arial" w:hAnsi="Arial" w:cs="Arial"/>
          <w:i/>
          <w:iCs/>
        </w:rPr>
      </w:pPr>
      <w:r w:rsidRPr="00F15C89">
        <w:rPr>
          <w:rFonts w:ascii="Arial" w:hAnsi="Arial" w:cs="Arial"/>
          <w:i/>
          <w:iCs/>
        </w:rPr>
        <w:t>mléko produkované v ekologickém zemědělství je v biokvalitě uplatněno z části, stále jsou dostupné rezervy v řádu milionů litrů, které jsou odbytovány coby konvenční mléko</w:t>
      </w:r>
    </w:p>
    <w:p w14:paraId="22DABF99" w14:textId="77777777" w:rsidR="006515EB" w:rsidRPr="00F15C89" w:rsidRDefault="006515EB" w:rsidP="002455CC">
      <w:pPr>
        <w:pStyle w:val="Odstavecseseznamem"/>
        <w:numPr>
          <w:ilvl w:val="0"/>
          <w:numId w:val="31"/>
        </w:numPr>
        <w:spacing w:after="0" w:line="240" w:lineRule="auto"/>
        <w:ind w:left="567" w:hanging="283"/>
        <w:jc w:val="both"/>
        <w:rPr>
          <w:rFonts w:ascii="Arial" w:hAnsi="Arial" w:cs="Arial"/>
          <w:i/>
          <w:iCs/>
        </w:rPr>
      </w:pPr>
      <w:r w:rsidRPr="00F15C89">
        <w:rPr>
          <w:rFonts w:ascii="Arial" w:hAnsi="Arial" w:cs="Arial"/>
          <w:i/>
          <w:iCs/>
        </w:rPr>
        <w:t>hovězí maso i mléko v biokvalitě jsou dominantními produkty českého ekologického zemědělství a jsou dostupné ve všech krajích ČR</w:t>
      </w:r>
    </w:p>
    <w:p w14:paraId="3CF51EF6" w14:textId="77777777" w:rsidR="006515EB" w:rsidRPr="00F15C89" w:rsidRDefault="006515EB" w:rsidP="002455CC">
      <w:pPr>
        <w:spacing w:after="0" w:line="240" w:lineRule="auto"/>
        <w:ind w:left="567" w:hanging="283"/>
        <w:jc w:val="both"/>
        <w:rPr>
          <w:rFonts w:ascii="Arial" w:hAnsi="Arial" w:cs="Arial"/>
          <w:i/>
          <w:iCs/>
        </w:rPr>
      </w:pPr>
    </w:p>
    <w:p w14:paraId="22B18DB3" w14:textId="77777777"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noProof/>
        </w:rPr>
        <w:lastRenderedPageBreak/>
        <w:drawing>
          <wp:inline distT="0" distB="0" distL="0" distR="0" wp14:anchorId="1146DA5A" wp14:editId="66336B3C">
            <wp:extent cx="5760720" cy="3314065"/>
            <wp:effectExtent l="0" t="0" r="11430" b="635"/>
            <wp:docPr id="1012957420" name="Graf 1">
              <a:extLst xmlns:a="http://schemas.openxmlformats.org/drawingml/2006/main">
                <a:ext uri="{FF2B5EF4-FFF2-40B4-BE49-F238E27FC236}">
                  <a16:creationId xmlns:a16="http://schemas.microsoft.com/office/drawing/2014/main" id="{4396159A-ACBE-0A5B-4111-E4EDAE3F6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F47D1E" w14:textId="77777777"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Graf 1: Roční produkce mléka v biokvalitě v jednotlivých krajích ČR (Zdroj: ÚZEI, projekt QL24020332)</w:t>
      </w:r>
    </w:p>
    <w:p w14:paraId="2A70DBAA" w14:textId="77777777" w:rsidR="006515EB" w:rsidRPr="00F15C89" w:rsidRDefault="006515EB" w:rsidP="00771372">
      <w:pPr>
        <w:spacing w:after="0" w:line="240" w:lineRule="auto"/>
        <w:ind w:left="284"/>
        <w:jc w:val="both"/>
        <w:rPr>
          <w:rFonts w:ascii="Arial" w:hAnsi="Arial" w:cs="Arial"/>
          <w:i/>
          <w:iCs/>
        </w:rPr>
      </w:pPr>
    </w:p>
    <w:p w14:paraId="46A7D496" w14:textId="77777777"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noProof/>
        </w:rPr>
        <w:drawing>
          <wp:inline distT="0" distB="0" distL="0" distR="0" wp14:anchorId="5DA5D402" wp14:editId="3DC32A31">
            <wp:extent cx="5760720" cy="3529965"/>
            <wp:effectExtent l="0" t="0" r="11430" b="13335"/>
            <wp:docPr id="1723132996" name="Graf 1">
              <a:extLst xmlns:a="http://schemas.openxmlformats.org/drawingml/2006/main">
                <a:ext uri="{FF2B5EF4-FFF2-40B4-BE49-F238E27FC236}">
                  <a16:creationId xmlns:a16="http://schemas.microsoft.com/office/drawing/2014/main" id="{CECC27C5-2960-A06C-85B4-CDDA58B1C5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A81273" w14:textId="77777777" w:rsidR="006515EB" w:rsidRPr="00F15C89" w:rsidRDefault="006515EB" w:rsidP="002455CC">
      <w:pPr>
        <w:spacing w:after="0" w:line="240" w:lineRule="auto"/>
        <w:ind w:left="284"/>
        <w:jc w:val="both"/>
        <w:rPr>
          <w:rFonts w:ascii="Arial" w:hAnsi="Arial" w:cs="Arial"/>
          <w:i/>
          <w:iCs/>
        </w:rPr>
      </w:pPr>
      <w:r w:rsidRPr="00F15C89">
        <w:rPr>
          <w:rFonts w:ascii="Arial" w:hAnsi="Arial" w:cs="Arial"/>
          <w:i/>
          <w:iCs/>
        </w:rPr>
        <w:t>Graf 2: Roční produkce hovězího masa v biokvalitě v jednotlivých krajích ČR (Zdroj: ÚZEI, projekt QL24020332)</w:t>
      </w:r>
    </w:p>
    <w:p w14:paraId="0C2F0652" w14:textId="77777777" w:rsidR="00E019F4" w:rsidRPr="00F15C89" w:rsidRDefault="00E019F4" w:rsidP="00771372">
      <w:pPr>
        <w:spacing w:after="0" w:line="240" w:lineRule="auto"/>
        <w:ind w:left="284"/>
        <w:jc w:val="both"/>
        <w:rPr>
          <w:rFonts w:ascii="Arial" w:hAnsi="Arial" w:cs="Arial"/>
          <w:i/>
          <w:iCs/>
        </w:rPr>
      </w:pPr>
    </w:p>
    <w:p w14:paraId="67D89AAB" w14:textId="4818E352"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V praxi budou zařazeny i další p</w:t>
      </w:r>
      <w:r w:rsidR="00C60B42" w:rsidRPr="00F15C89">
        <w:rPr>
          <w:rFonts w:ascii="Arial" w:hAnsi="Arial" w:cs="Arial"/>
          <w:i/>
          <w:iCs/>
        </w:rPr>
        <w:t>r</w:t>
      </w:r>
      <w:r w:rsidRPr="00F15C89">
        <w:rPr>
          <w:rFonts w:ascii="Arial" w:hAnsi="Arial" w:cs="Arial"/>
          <w:i/>
          <w:iCs/>
        </w:rPr>
        <w:t>odukty, lze předpokládat preferenci produktů, u nichž je cenový bonus za bioprodukci relativně nižší (např. obilné produkty – mouky atp.).</w:t>
      </w:r>
    </w:p>
    <w:p w14:paraId="7DD596E1" w14:textId="77777777" w:rsidR="00473E33" w:rsidRPr="00F15C89" w:rsidRDefault="00473E33">
      <w:pPr>
        <w:rPr>
          <w:rFonts w:ascii="Arial" w:hAnsi="Arial" w:cs="Arial"/>
          <w:i/>
          <w:iCs/>
        </w:rPr>
      </w:pPr>
      <w:r w:rsidRPr="00F15C89">
        <w:rPr>
          <w:rFonts w:ascii="Arial" w:hAnsi="Arial" w:cs="Arial"/>
          <w:i/>
          <w:iCs/>
        </w:rPr>
        <w:br w:type="page"/>
      </w:r>
    </w:p>
    <w:p w14:paraId="5179C8CB" w14:textId="77777777" w:rsidR="006515EB" w:rsidRPr="00F15C89" w:rsidRDefault="006515EB" w:rsidP="00771372">
      <w:pPr>
        <w:spacing w:after="0" w:line="240" w:lineRule="auto"/>
        <w:ind w:left="284"/>
        <w:jc w:val="both"/>
        <w:rPr>
          <w:rFonts w:ascii="Arial" w:hAnsi="Arial" w:cs="Arial"/>
          <w:i/>
          <w:iCs/>
        </w:rPr>
      </w:pPr>
    </w:p>
    <w:p w14:paraId="7BB28A9A" w14:textId="77777777" w:rsidR="006515EB" w:rsidRPr="00F15C89" w:rsidRDefault="006515EB" w:rsidP="00771372">
      <w:pPr>
        <w:spacing w:after="0" w:line="240" w:lineRule="auto"/>
        <w:ind w:left="284"/>
        <w:jc w:val="both"/>
        <w:rPr>
          <w:rFonts w:ascii="Arial" w:hAnsi="Arial" w:cs="Arial"/>
          <w:i/>
          <w:iCs/>
        </w:rPr>
      </w:pPr>
    </w:p>
    <w:p w14:paraId="0B7C3926" w14:textId="77777777" w:rsidR="006515EB" w:rsidRPr="00F15C89" w:rsidRDefault="006515EB" w:rsidP="00771372">
      <w:pPr>
        <w:spacing w:after="0" w:line="240" w:lineRule="auto"/>
        <w:ind w:left="284"/>
        <w:jc w:val="both"/>
        <w:rPr>
          <w:rFonts w:ascii="Arial" w:hAnsi="Arial" w:cs="Arial"/>
          <w:b/>
          <w:bCs/>
          <w:i/>
          <w:iCs/>
        </w:rPr>
      </w:pPr>
      <w:r w:rsidRPr="00F15C89">
        <w:rPr>
          <w:rFonts w:ascii="Arial" w:hAnsi="Arial" w:cs="Arial"/>
          <w:b/>
          <w:bCs/>
          <w:i/>
          <w:iCs/>
        </w:rPr>
        <w:t>Modelové scénáře:</w:t>
      </w:r>
    </w:p>
    <w:p w14:paraId="129EC4E1" w14:textId="101F46BD"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Modelové scénáře byly počítány pro teoretickou veřejnou zakázku v</w:t>
      </w:r>
      <w:r w:rsidR="00C601F8" w:rsidRPr="00F15C89">
        <w:rPr>
          <w:rFonts w:ascii="Arial" w:hAnsi="Arial" w:cs="Arial"/>
          <w:i/>
          <w:iCs/>
        </w:rPr>
        <w:t xml:space="preserve"> </w:t>
      </w:r>
      <w:r w:rsidRPr="00F15C89">
        <w:rPr>
          <w:rFonts w:ascii="Arial" w:hAnsi="Arial" w:cs="Arial"/>
          <w:i/>
          <w:iCs/>
        </w:rPr>
        <w:t>hodnotě 10 000 000,- Kč. V praxi lze očekávat kombinování jednotlivých produktů tak, aby byl objem nakupované produkce v souladu s reálnou potřebou konkrétních stravovacích za</w:t>
      </w:r>
      <w:r w:rsidR="007C2BB1" w:rsidRPr="00F15C89">
        <w:rPr>
          <w:rFonts w:ascii="Arial" w:hAnsi="Arial" w:cs="Arial"/>
          <w:i/>
          <w:iCs/>
        </w:rPr>
        <w:t>ř</w:t>
      </w:r>
      <w:r w:rsidRPr="00F15C89">
        <w:rPr>
          <w:rFonts w:ascii="Arial" w:hAnsi="Arial" w:cs="Arial"/>
          <w:i/>
          <w:iCs/>
        </w:rPr>
        <w:t xml:space="preserve">ízení. V každém scénáři je využita jedna konkrétní skupina produktů (1. hovězí zadní, 2. mléko, 3. hovězí – směsné balíčky, 4. brambory), přičemž je počítáno s množstvím, které finančním objemem tvoří 5 % </w:t>
      </w:r>
      <w:r w:rsidR="00C601F8" w:rsidRPr="00F15C89">
        <w:rPr>
          <w:rFonts w:ascii="Arial" w:hAnsi="Arial" w:cs="Arial"/>
          <w:i/>
          <w:iCs/>
        </w:rPr>
        <w:t xml:space="preserve">hodnoty </w:t>
      </w:r>
      <w:r w:rsidRPr="00F15C89">
        <w:rPr>
          <w:rFonts w:ascii="Arial" w:hAnsi="Arial" w:cs="Arial"/>
          <w:i/>
          <w:iCs/>
        </w:rPr>
        <w:t>zakázky (tedy 500 000,- Kč)</w:t>
      </w:r>
      <w:r w:rsidR="00473E33" w:rsidRPr="00F15C89">
        <w:rPr>
          <w:rFonts w:ascii="Arial" w:hAnsi="Arial" w:cs="Arial"/>
          <w:i/>
          <w:iCs/>
        </w:rPr>
        <w:t>.</w:t>
      </w:r>
      <w:r w:rsidRPr="00F15C89">
        <w:rPr>
          <w:rFonts w:ascii="Arial" w:hAnsi="Arial" w:cs="Arial"/>
          <w:i/>
          <w:iCs/>
        </w:rPr>
        <w:t xml:space="preserve"> Toto je pak nahrazeno ekvivalentem v biokvalitě a je vyčíslen nárůst ceny celé zakázky. Ta svým složením (včetně hmotnosti nakoupených produktů) zůstává stejná, pouze místo části konvenční produkce využívá bioprodukty.</w:t>
      </w:r>
    </w:p>
    <w:p w14:paraId="6FF3B790" w14:textId="77777777" w:rsidR="006515EB" w:rsidRPr="00F15C89" w:rsidRDefault="006515EB" w:rsidP="00771372">
      <w:pPr>
        <w:spacing w:after="0" w:line="240" w:lineRule="auto"/>
        <w:ind w:left="284"/>
        <w:jc w:val="both"/>
        <w:rPr>
          <w:rFonts w:ascii="Arial" w:hAnsi="Arial" w:cs="Arial"/>
          <w:i/>
          <w:iCs/>
        </w:rPr>
      </w:pPr>
    </w:p>
    <w:p w14:paraId="77C5EFAB" w14:textId="4BDE7F02"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U většiny produktů může být cena variabilní, např. v případě hovězího masa hraje vedle původu (bio/konvenční) roli i to, o kterou partii jde, zda je maso vyzrálé, plemeno zvířete atp.</w:t>
      </w:r>
      <w:r w:rsidR="00B96ABB" w:rsidRPr="00F15C89">
        <w:rPr>
          <w:rFonts w:ascii="Arial" w:hAnsi="Arial" w:cs="Arial"/>
          <w:i/>
          <w:iCs/>
        </w:rPr>
        <w:t>,</w:t>
      </w:r>
      <w:r w:rsidRPr="00F15C89">
        <w:rPr>
          <w:rFonts w:ascii="Arial" w:hAnsi="Arial" w:cs="Arial"/>
          <w:i/>
          <w:iCs/>
        </w:rPr>
        <w:t xml:space="preserve"> u brambor hraje roli </w:t>
      </w:r>
      <w:r w:rsidR="002C46A7" w:rsidRPr="00F15C89">
        <w:rPr>
          <w:rFonts w:ascii="Arial" w:hAnsi="Arial" w:cs="Arial"/>
          <w:i/>
          <w:iCs/>
        </w:rPr>
        <w:t>ranost</w:t>
      </w:r>
      <w:r w:rsidRPr="00F15C89">
        <w:rPr>
          <w:rFonts w:ascii="Arial" w:hAnsi="Arial" w:cs="Arial"/>
          <w:i/>
          <w:iCs/>
        </w:rPr>
        <w:t>, varný typ, stupeň dalšího ošetření (praní, krájení…) atp. Ceny se v průběhu času mění a reagují i na situaci na evropském a globálním zemědělském a potravinářském trhu. Pro</w:t>
      </w:r>
      <w:r w:rsidR="00282CFD" w:rsidRPr="00F15C89">
        <w:rPr>
          <w:rFonts w:ascii="Arial" w:hAnsi="Arial" w:cs="Arial"/>
          <w:i/>
          <w:iCs/>
        </w:rPr>
        <w:t> </w:t>
      </w:r>
      <w:r w:rsidRPr="00F15C89">
        <w:rPr>
          <w:rFonts w:ascii="Arial" w:hAnsi="Arial" w:cs="Arial"/>
          <w:i/>
          <w:iCs/>
        </w:rPr>
        <w:t>výpočty byly použity ceny odrážející současné cenové hladiny.</w:t>
      </w:r>
    </w:p>
    <w:p w14:paraId="7F886C6D" w14:textId="77777777" w:rsidR="006515EB" w:rsidRPr="00F15C89" w:rsidRDefault="006515EB" w:rsidP="00771372">
      <w:pPr>
        <w:spacing w:after="0" w:line="240" w:lineRule="auto"/>
        <w:ind w:left="284"/>
        <w:jc w:val="both"/>
        <w:rPr>
          <w:rFonts w:ascii="Arial" w:hAnsi="Arial" w:cs="Arial"/>
          <w:i/>
          <w:iCs/>
        </w:rPr>
      </w:pPr>
    </w:p>
    <w:p w14:paraId="2FB494CC" w14:textId="77777777" w:rsidR="006515EB" w:rsidRPr="00F15C89" w:rsidRDefault="006515EB" w:rsidP="00771372">
      <w:pPr>
        <w:spacing w:after="0" w:line="240" w:lineRule="auto"/>
        <w:ind w:left="284"/>
        <w:jc w:val="both"/>
        <w:rPr>
          <w:rFonts w:ascii="Arial" w:hAnsi="Arial" w:cs="Arial"/>
          <w:b/>
          <w:bCs/>
          <w:i/>
          <w:iCs/>
        </w:rPr>
      </w:pPr>
      <w:r w:rsidRPr="00F15C89">
        <w:rPr>
          <w:rFonts w:ascii="Arial" w:hAnsi="Arial" w:cs="Arial"/>
          <w:b/>
          <w:bCs/>
          <w:i/>
          <w:iCs/>
        </w:rPr>
        <w:t>Scénář 1 – Hovězí zadní</w:t>
      </w:r>
    </w:p>
    <w:p w14:paraId="1E35CB55" w14:textId="676F95A1"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Cena konvenčního produktu využitá pro výpočet činí 185,- Kč za kg, u bioproduktů byla zvolena cena za vyzr</w:t>
      </w:r>
      <w:r w:rsidR="00B96ABB" w:rsidRPr="00F15C89">
        <w:rPr>
          <w:rFonts w:ascii="Arial" w:hAnsi="Arial" w:cs="Arial"/>
          <w:i/>
          <w:iCs/>
        </w:rPr>
        <w:t>á</w:t>
      </w:r>
      <w:r w:rsidRPr="00F15C89">
        <w:rPr>
          <w:rFonts w:ascii="Arial" w:hAnsi="Arial" w:cs="Arial"/>
          <w:i/>
          <w:iCs/>
        </w:rPr>
        <w:t>lé hovězí zadní 340,- Kč/kg. Jde o koncové ceny s DPH. Ačkoliv je možné sehnat hovězí zadní v biokvalitě i za nižší ceny, pro výpočet byla použita vyšší hodnota, za kterou je tento produkt snadno a běžně dostupný.</w:t>
      </w:r>
    </w:p>
    <w:p w14:paraId="10C62E9C" w14:textId="77777777" w:rsidR="006515EB" w:rsidRPr="00F15C89" w:rsidRDefault="006515EB" w:rsidP="00771372">
      <w:pPr>
        <w:spacing w:after="0" w:line="240" w:lineRule="auto"/>
        <w:ind w:left="284"/>
        <w:jc w:val="both"/>
        <w:rPr>
          <w:rFonts w:ascii="Arial" w:hAnsi="Arial" w:cs="Arial"/>
          <w:i/>
          <w:iCs/>
        </w:rPr>
      </w:pPr>
    </w:p>
    <w:p w14:paraId="1DF6C907" w14:textId="05CDBBC2"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 xml:space="preserve">V modelové zakázce v hodnotě 10 000 000,- Kč by tedy hovězí zadní v hodnotě </w:t>
      </w:r>
      <w:r w:rsidR="00326F1E" w:rsidRPr="00F15C89">
        <w:rPr>
          <w:rFonts w:ascii="Arial" w:hAnsi="Arial" w:cs="Arial"/>
          <w:i/>
          <w:iCs/>
        </w:rPr>
        <w:t>500 0</w:t>
      </w:r>
      <w:r w:rsidR="00EF42DB" w:rsidRPr="00F15C89">
        <w:rPr>
          <w:rFonts w:ascii="Arial" w:hAnsi="Arial" w:cs="Arial"/>
          <w:i/>
          <w:iCs/>
        </w:rPr>
        <w:t>00</w:t>
      </w:r>
      <w:r w:rsidR="00326F1E" w:rsidRPr="00F15C89">
        <w:rPr>
          <w:rFonts w:ascii="Arial" w:hAnsi="Arial" w:cs="Arial"/>
          <w:i/>
          <w:iCs/>
        </w:rPr>
        <w:t>,- Kč (5 % ceny) znamenalo 2</w:t>
      </w:r>
      <w:r w:rsidR="00EF42DB" w:rsidRPr="00F15C89">
        <w:rPr>
          <w:rFonts w:ascii="Arial" w:hAnsi="Arial" w:cs="Arial"/>
          <w:i/>
          <w:iCs/>
        </w:rPr>
        <w:t xml:space="preserve"> 702,7</w:t>
      </w:r>
      <w:r w:rsidR="00326F1E" w:rsidRPr="00F15C89">
        <w:rPr>
          <w:rFonts w:ascii="Arial" w:hAnsi="Arial" w:cs="Arial"/>
          <w:i/>
          <w:iCs/>
        </w:rPr>
        <w:t xml:space="preserve"> Kg</w:t>
      </w:r>
      <w:r w:rsidR="00EF42DB" w:rsidRPr="00F15C89">
        <w:rPr>
          <w:rFonts w:ascii="Arial" w:hAnsi="Arial" w:cs="Arial"/>
          <w:i/>
          <w:iCs/>
        </w:rPr>
        <w:t xml:space="preserve"> (zaokrouhleno na jedno desetinné místo).</w:t>
      </w:r>
      <w:r w:rsidRPr="00F15C89">
        <w:rPr>
          <w:rFonts w:ascii="Arial" w:hAnsi="Arial" w:cs="Arial"/>
          <w:i/>
          <w:iCs/>
        </w:rPr>
        <w:t xml:space="preserve"> Stejné množství hovězího zadního v</w:t>
      </w:r>
      <w:r w:rsidR="00EF42DB" w:rsidRPr="00F15C89">
        <w:rPr>
          <w:rFonts w:ascii="Arial" w:hAnsi="Arial" w:cs="Arial"/>
          <w:i/>
          <w:iCs/>
        </w:rPr>
        <w:t xml:space="preserve"> </w:t>
      </w:r>
      <w:r w:rsidRPr="00F15C89">
        <w:rPr>
          <w:rFonts w:ascii="Arial" w:hAnsi="Arial" w:cs="Arial"/>
          <w:i/>
          <w:iCs/>
        </w:rPr>
        <w:t xml:space="preserve">biokvalitě by stálo </w:t>
      </w:r>
      <w:r w:rsidR="00EF42DB" w:rsidRPr="00F15C89">
        <w:rPr>
          <w:rFonts w:ascii="Arial" w:hAnsi="Arial" w:cs="Arial"/>
          <w:i/>
          <w:iCs/>
        </w:rPr>
        <w:t>918 918</w:t>
      </w:r>
      <w:r w:rsidRPr="00F15C89">
        <w:rPr>
          <w:rFonts w:ascii="Arial" w:hAnsi="Arial" w:cs="Arial"/>
          <w:i/>
          <w:iCs/>
        </w:rPr>
        <w:t>,- Kč, celková cena zakázky by se tak z</w:t>
      </w:r>
      <w:r w:rsidR="00EF42DB" w:rsidRPr="00F15C89">
        <w:rPr>
          <w:rFonts w:ascii="Arial" w:hAnsi="Arial" w:cs="Arial"/>
          <w:i/>
          <w:iCs/>
        </w:rPr>
        <w:t xml:space="preserve"> </w:t>
      </w:r>
      <w:r w:rsidRPr="00F15C89">
        <w:rPr>
          <w:rFonts w:ascii="Arial" w:hAnsi="Arial" w:cs="Arial"/>
          <w:i/>
          <w:iCs/>
        </w:rPr>
        <w:t>10</w:t>
      </w:r>
      <w:r w:rsidR="00EF42DB" w:rsidRPr="00F15C89">
        <w:rPr>
          <w:rFonts w:ascii="Arial" w:hAnsi="Arial" w:cs="Arial"/>
          <w:i/>
          <w:iCs/>
        </w:rPr>
        <w:t xml:space="preserve"> </w:t>
      </w:r>
      <w:r w:rsidRPr="00F15C89">
        <w:rPr>
          <w:rFonts w:ascii="Arial" w:hAnsi="Arial" w:cs="Arial"/>
          <w:i/>
          <w:iCs/>
        </w:rPr>
        <w:t>000</w:t>
      </w:r>
      <w:r w:rsidR="00EF42DB" w:rsidRPr="00F15C89">
        <w:rPr>
          <w:rFonts w:ascii="Arial" w:hAnsi="Arial" w:cs="Arial"/>
          <w:i/>
          <w:iCs/>
        </w:rPr>
        <w:t xml:space="preserve"> </w:t>
      </w:r>
      <w:r w:rsidRPr="00F15C89">
        <w:rPr>
          <w:rFonts w:ascii="Arial" w:hAnsi="Arial" w:cs="Arial"/>
          <w:i/>
          <w:iCs/>
        </w:rPr>
        <w:t>000,- Kč zvýšila o</w:t>
      </w:r>
      <w:r w:rsidR="00EF42DB" w:rsidRPr="00F15C89">
        <w:rPr>
          <w:rFonts w:ascii="Arial" w:hAnsi="Arial" w:cs="Arial"/>
          <w:i/>
          <w:iCs/>
        </w:rPr>
        <w:t> </w:t>
      </w:r>
      <w:r w:rsidRPr="00F15C89">
        <w:rPr>
          <w:rFonts w:ascii="Arial" w:hAnsi="Arial" w:cs="Arial"/>
          <w:i/>
          <w:iCs/>
        </w:rPr>
        <w:t>418</w:t>
      </w:r>
      <w:r w:rsidR="00EF42DB" w:rsidRPr="00F15C89">
        <w:rPr>
          <w:rFonts w:ascii="Arial" w:hAnsi="Arial" w:cs="Arial"/>
          <w:i/>
          <w:iCs/>
        </w:rPr>
        <w:t xml:space="preserve"> 918</w:t>
      </w:r>
      <w:r w:rsidRPr="00F15C89">
        <w:rPr>
          <w:rFonts w:ascii="Arial" w:hAnsi="Arial" w:cs="Arial"/>
          <w:i/>
          <w:iCs/>
        </w:rPr>
        <w:t>,- Kč, tedy o 4,19 % na 10</w:t>
      </w:r>
      <w:r w:rsidR="00EF42DB" w:rsidRPr="00F15C89">
        <w:rPr>
          <w:rFonts w:ascii="Arial" w:hAnsi="Arial" w:cs="Arial"/>
          <w:i/>
          <w:iCs/>
        </w:rPr>
        <w:t xml:space="preserve"> </w:t>
      </w:r>
      <w:r w:rsidRPr="00F15C89">
        <w:rPr>
          <w:rFonts w:ascii="Arial" w:hAnsi="Arial" w:cs="Arial"/>
          <w:i/>
          <w:iCs/>
        </w:rPr>
        <w:t>418</w:t>
      </w:r>
      <w:r w:rsidR="00EF42DB" w:rsidRPr="00F15C89">
        <w:rPr>
          <w:rFonts w:ascii="Arial" w:hAnsi="Arial" w:cs="Arial"/>
          <w:i/>
          <w:iCs/>
        </w:rPr>
        <w:t xml:space="preserve"> 918</w:t>
      </w:r>
      <w:r w:rsidRPr="00F15C89">
        <w:rPr>
          <w:rFonts w:ascii="Arial" w:hAnsi="Arial" w:cs="Arial"/>
          <w:i/>
          <w:iCs/>
        </w:rPr>
        <w:t>,- Kč.</w:t>
      </w:r>
    </w:p>
    <w:p w14:paraId="1F8AC76B" w14:textId="77777777" w:rsidR="006515EB" w:rsidRPr="00F15C89" w:rsidRDefault="006515EB" w:rsidP="00771372">
      <w:pPr>
        <w:spacing w:after="0" w:line="240" w:lineRule="auto"/>
        <w:ind w:left="284"/>
        <w:jc w:val="both"/>
        <w:rPr>
          <w:rFonts w:ascii="Arial" w:hAnsi="Arial" w:cs="Arial"/>
          <w:i/>
          <w:iCs/>
        </w:rPr>
      </w:pPr>
    </w:p>
    <w:p w14:paraId="2A111E5A" w14:textId="77777777" w:rsidR="006515EB" w:rsidRPr="00F15C89" w:rsidRDefault="006515EB" w:rsidP="00771372">
      <w:pPr>
        <w:spacing w:after="0" w:line="240" w:lineRule="auto"/>
        <w:ind w:left="284"/>
        <w:jc w:val="both"/>
        <w:rPr>
          <w:rFonts w:ascii="Arial" w:hAnsi="Arial" w:cs="Arial"/>
          <w:b/>
          <w:bCs/>
          <w:i/>
          <w:iCs/>
        </w:rPr>
      </w:pPr>
      <w:r w:rsidRPr="00F15C89">
        <w:rPr>
          <w:rFonts w:ascii="Arial" w:hAnsi="Arial" w:cs="Arial"/>
          <w:b/>
          <w:bCs/>
          <w:i/>
          <w:iCs/>
        </w:rPr>
        <w:t>Scénář 2 – Mléko</w:t>
      </w:r>
    </w:p>
    <w:p w14:paraId="6678032F" w14:textId="116FBDAC"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Pro výpočet byla zvolena cena konvenčního mléka (plnotučného) 19,- Kč/l, pro mléko v biokvalitě cena 26,- Kč/l. Cena konvenčního polotučného mléka by byla přibližně o 2,- Kč nižší, stravovací zařízení využívají oba typy mléka, poměr se ale může lišit, proto byl scénář vypočten i pro variantu s polotučným mlékem za 17,- Kč/l</w:t>
      </w:r>
      <w:r w:rsidR="00387A3F" w:rsidRPr="00F15C89">
        <w:rPr>
          <w:rFonts w:ascii="Arial" w:hAnsi="Arial" w:cs="Arial"/>
          <w:i/>
          <w:iCs/>
        </w:rPr>
        <w:t>.</w:t>
      </w:r>
    </w:p>
    <w:p w14:paraId="251F1697" w14:textId="77777777" w:rsidR="006515EB" w:rsidRPr="00F15C89" w:rsidRDefault="006515EB" w:rsidP="00771372">
      <w:pPr>
        <w:spacing w:after="0" w:line="240" w:lineRule="auto"/>
        <w:ind w:left="284"/>
        <w:jc w:val="both"/>
        <w:rPr>
          <w:rFonts w:ascii="Arial" w:hAnsi="Arial" w:cs="Arial"/>
          <w:i/>
          <w:iCs/>
        </w:rPr>
      </w:pPr>
    </w:p>
    <w:p w14:paraId="34B263A4" w14:textId="06C39D50"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 xml:space="preserve">V modelové zakázce v hodnotě 10 000 000,- Kč by konvenční plnotučné mléko v hodnotě </w:t>
      </w:r>
      <w:r w:rsidR="00342055" w:rsidRPr="00F15C89">
        <w:rPr>
          <w:rFonts w:ascii="Arial" w:hAnsi="Arial" w:cs="Arial"/>
          <w:i/>
          <w:iCs/>
        </w:rPr>
        <w:t>v hodnotě 500 00</w:t>
      </w:r>
      <w:r w:rsidR="00387A3F" w:rsidRPr="00F15C89">
        <w:rPr>
          <w:rFonts w:ascii="Arial" w:hAnsi="Arial" w:cs="Arial"/>
          <w:i/>
          <w:iCs/>
        </w:rPr>
        <w:t>0</w:t>
      </w:r>
      <w:r w:rsidR="00342055" w:rsidRPr="00F15C89">
        <w:rPr>
          <w:rFonts w:ascii="Arial" w:hAnsi="Arial" w:cs="Arial"/>
          <w:i/>
          <w:iCs/>
        </w:rPr>
        <w:t>,- Kč (5 % ceny) znamenalo 26</w:t>
      </w:r>
      <w:r w:rsidR="00A85615" w:rsidRPr="00F15C89">
        <w:rPr>
          <w:rFonts w:ascii="Arial" w:hAnsi="Arial" w:cs="Arial"/>
          <w:i/>
          <w:iCs/>
        </w:rPr>
        <w:t xml:space="preserve"> 315,8</w:t>
      </w:r>
      <w:r w:rsidR="00342055" w:rsidRPr="00F15C89">
        <w:rPr>
          <w:rFonts w:ascii="Arial" w:hAnsi="Arial" w:cs="Arial"/>
          <w:i/>
          <w:iCs/>
        </w:rPr>
        <w:t xml:space="preserve"> litrů</w:t>
      </w:r>
      <w:r w:rsidR="00A85615" w:rsidRPr="00F15C89">
        <w:rPr>
          <w:rFonts w:ascii="Arial" w:hAnsi="Arial" w:cs="Arial"/>
          <w:i/>
          <w:iCs/>
        </w:rPr>
        <w:t xml:space="preserve"> (zaokrouhleno na jedno desetinné místo).</w:t>
      </w:r>
      <w:r w:rsidRPr="00F15C89">
        <w:rPr>
          <w:rFonts w:ascii="Arial" w:hAnsi="Arial" w:cs="Arial"/>
          <w:i/>
          <w:iCs/>
        </w:rPr>
        <w:t xml:space="preserve"> Stejné množství mléka v</w:t>
      </w:r>
      <w:r w:rsidR="00A85615" w:rsidRPr="00F15C89">
        <w:rPr>
          <w:rFonts w:ascii="Arial" w:hAnsi="Arial" w:cs="Arial"/>
          <w:i/>
          <w:iCs/>
        </w:rPr>
        <w:t xml:space="preserve"> </w:t>
      </w:r>
      <w:r w:rsidRPr="00F15C89">
        <w:rPr>
          <w:rFonts w:ascii="Arial" w:hAnsi="Arial" w:cs="Arial"/>
          <w:i/>
          <w:iCs/>
        </w:rPr>
        <w:t>biokvalitě by stálo 684</w:t>
      </w:r>
      <w:r w:rsidR="00A85615" w:rsidRPr="00F15C89">
        <w:rPr>
          <w:rFonts w:ascii="Arial" w:hAnsi="Arial" w:cs="Arial"/>
          <w:i/>
          <w:iCs/>
        </w:rPr>
        <w:t xml:space="preserve"> 203</w:t>
      </w:r>
      <w:r w:rsidRPr="00F15C89">
        <w:rPr>
          <w:rFonts w:ascii="Arial" w:hAnsi="Arial" w:cs="Arial"/>
          <w:i/>
          <w:iCs/>
        </w:rPr>
        <w:t xml:space="preserve">,- Kč. </w:t>
      </w:r>
      <w:r w:rsidR="00B80E94" w:rsidRPr="00F15C89">
        <w:rPr>
          <w:rFonts w:ascii="Arial" w:hAnsi="Arial" w:cs="Arial"/>
          <w:i/>
          <w:iCs/>
        </w:rPr>
        <w:t>Celková cena zakázky by se z</w:t>
      </w:r>
      <w:r w:rsidR="00A85615" w:rsidRPr="00F15C89">
        <w:rPr>
          <w:rFonts w:ascii="Arial" w:hAnsi="Arial" w:cs="Arial"/>
          <w:i/>
          <w:iCs/>
        </w:rPr>
        <w:t xml:space="preserve"> </w:t>
      </w:r>
      <w:r w:rsidR="00B80E94" w:rsidRPr="00F15C89">
        <w:rPr>
          <w:rFonts w:ascii="Arial" w:hAnsi="Arial" w:cs="Arial"/>
          <w:i/>
          <w:iCs/>
        </w:rPr>
        <w:t>10</w:t>
      </w:r>
      <w:r w:rsidR="00A85615" w:rsidRPr="00F15C89">
        <w:rPr>
          <w:rFonts w:ascii="Arial" w:hAnsi="Arial" w:cs="Arial"/>
          <w:i/>
          <w:iCs/>
        </w:rPr>
        <w:t xml:space="preserve"> </w:t>
      </w:r>
      <w:r w:rsidR="00B80E94" w:rsidRPr="00F15C89">
        <w:rPr>
          <w:rFonts w:ascii="Arial" w:hAnsi="Arial" w:cs="Arial"/>
          <w:i/>
          <w:iCs/>
        </w:rPr>
        <w:t>000</w:t>
      </w:r>
      <w:r w:rsidR="00A85615" w:rsidRPr="00F15C89">
        <w:rPr>
          <w:rFonts w:ascii="Arial" w:hAnsi="Arial" w:cs="Arial"/>
          <w:i/>
          <w:iCs/>
        </w:rPr>
        <w:t xml:space="preserve"> </w:t>
      </w:r>
      <w:r w:rsidR="00B80E94" w:rsidRPr="00F15C89">
        <w:rPr>
          <w:rFonts w:ascii="Arial" w:hAnsi="Arial" w:cs="Arial"/>
          <w:i/>
          <w:iCs/>
        </w:rPr>
        <w:t>000,- Kč zvýšila o 184</w:t>
      </w:r>
      <w:r w:rsidR="00A85615" w:rsidRPr="00F15C89">
        <w:rPr>
          <w:rFonts w:ascii="Arial" w:hAnsi="Arial" w:cs="Arial"/>
          <w:i/>
          <w:iCs/>
        </w:rPr>
        <w:t xml:space="preserve"> 203</w:t>
      </w:r>
      <w:r w:rsidR="00B80E94" w:rsidRPr="00F15C89">
        <w:rPr>
          <w:rFonts w:ascii="Arial" w:hAnsi="Arial" w:cs="Arial"/>
          <w:i/>
          <w:iCs/>
        </w:rPr>
        <w:t>,- Kč, tedy 1,84 % na 10</w:t>
      </w:r>
      <w:r w:rsidR="00A85615" w:rsidRPr="00F15C89">
        <w:rPr>
          <w:rFonts w:ascii="Arial" w:hAnsi="Arial" w:cs="Arial"/>
          <w:i/>
          <w:iCs/>
        </w:rPr>
        <w:t xml:space="preserve"> </w:t>
      </w:r>
      <w:r w:rsidR="00B80E94" w:rsidRPr="00F15C89">
        <w:rPr>
          <w:rFonts w:ascii="Arial" w:hAnsi="Arial" w:cs="Arial"/>
          <w:i/>
          <w:iCs/>
        </w:rPr>
        <w:t>184</w:t>
      </w:r>
      <w:r w:rsidR="00A85615" w:rsidRPr="00F15C89">
        <w:rPr>
          <w:rFonts w:ascii="Arial" w:hAnsi="Arial" w:cs="Arial"/>
          <w:i/>
          <w:iCs/>
        </w:rPr>
        <w:t xml:space="preserve"> 203</w:t>
      </w:r>
      <w:r w:rsidR="00B80E94" w:rsidRPr="00F15C89">
        <w:rPr>
          <w:rFonts w:ascii="Arial" w:hAnsi="Arial" w:cs="Arial"/>
          <w:i/>
          <w:iCs/>
        </w:rPr>
        <w:t>,- Kč</w:t>
      </w:r>
      <w:r w:rsidRPr="00F15C89">
        <w:rPr>
          <w:rFonts w:ascii="Arial" w:hAnsi="Arial" w:cs="Arial"/>
          <w:i/>
          <w:iCs/>
        </w:rPr>
        <w:t>.</w:t>
      </w:r>
    </w:p>
    <w:p w14:paraId="3AA55AAD" w14:textId="77777777" w:rsidR="006515EB" w:rsidRPr="00F15C89" w:rsidRDefault="006515EB" w:rsidP="00771372">
      <w:pPr>
        <w:spacing w:after="0" w:line="240" w:lineRule="auto"/>
        <w:ind w:left="284"/>
        <w:jc w:val="both"/>
        <w:rPr>
          <w:rFonts w:ascii="Arial" w:hAnsi="Arial" w:cs="Arial"/>
          <w:i/>
          <w:iCs/>
        </w:rPr>
      </w:pPr>
    </w:p>
    <w:p w14:paraId="74947F5A" w14:textId="2241CC76"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 xml:space="preserve">Rozdíl u polotučného mléka by byl mírně vyšší, v modelové zakázce v hodnotě 10 000 000,- Kč by konvenční polotučné mléko v hodnotě </w:t>
      </w:r>
      <w:r w:rsidR="00AC5329" w:rsidRPr="00F15C89">
        <w:rPr>
          <w:rFonts w:ascii="Arial" w:hAnsi="Arial" w:cs="Arial"/>
          <w:i/>
          <w:iCs/>
        </w:rPr>
        <w:t>500</w:t>
      </w:r>
      <w:r w:rsidR="000A10EB" w:rsidRPr="00F15C89">
        <w:rPr>
          <w:rFonts w:ascii="Arial" w:hAnsi="Arial" w:cs="Arial"/>
          <w:i/>
          <w:iCs/>
        </w:rPr>
        <w:t xml:space="preserve"> 000</w:t>
      </w:r>
      <w:r w:rsidR="00AC5329" w:rsidRPr="00F15C89">
        <w:rPr>
          <w:rFonts w:ascii="Arial" w:hAnsi="Arial" w:cs="Arial"/>
          <w:i/>
          <w:iCs/>
        </w:rPr>
        <w:t>,- Kč (5 % ceny) znamenalo 29</w:t>
      </w:r>
      <w:r w:rsidR="000A10EB" w:rsidRPr="00F15C89">
        <w:rPr>
          <w:rFonts w:ascii="Arial" w:hAnsi="Arial" w:cs="Arial"/>
          <w:i/>
          <w:iCs/>
        </w:rPr>
        <w:t xml:space="preserve"> 411,8</w:t>
      </w:r>
      <w:r w:rsidR="00AC5329" w:rsidRPr="00F15C89">
        <w:rPr>
          <w:rFonts w:ascii="Arial" w:hAnsi="Arial" w:cs="Arial"/>
          <w:i/>
          <w:iCs/>
        </w:rPr>
        <w:t xml:space="preserve"> litrů</w:t>
      </w:r>
      <w:r w:rsidR="000A10EB" w:rsidRPr="00F15C89">
        <w:rPr>
          <w:rFonts w:ascii="Arial" w:hAnsi="Arial" w:cs="Arial"/>
          <w:i/>
          <w:iCs/>
        </w:rPr>
        <w:t xml:space="preserve"> (zaokrouhleno na jedno desetinné místo).</w:t>
      </w:r>
      <w:r w:rsidRPr="00F15C89">
        <w:rPr>
          <w:rFonts w:ascii="Arial" w:hAnsi="Arial" w:cs="Arial"/>
          <w:i/>
          <w:iCs/>
        </w:rPr>
        <w:t xml:space="preserve"> Stejné množství mléka v</w:t>
      </w:r>
      <w:r w:rsidR="000A10EB" w:rsidRPr="00F15C89">
        <w:rPr>
          <w:rFonts w:ascii="Arial" w:hAnsi="Arial" w:cs="Arial"/>
          <w:i/>
          <w:iCs/>
        </w:rPr>
        <w:t xml:space="preserve"> </w:t>
      </w:r>
      <w:r w:rsidRPr="00F15C89">
        <w:rPr>
          <w:rFonts w:ascii="Arial" w:hAnsi="Arial" w:cs="Arial"/>
          <w:i/>
          <w:iCs/>
        </w:rPr>
        <w:t>biokvalitě by stálo 764</w:t>
      </w:r>
      <w:r w:rsidR="000A10EB" w:rsidRPr="00F15C89">
        <w:rPr>
          <w:rFonts w:ascii="Arial" w:hAnsi="Arial" w:cs="Arial"/>
          <w:i/>
          <w:iCs/>
        </w:rPr>
        <w:t xml:space="preserve"> 706,8</w:t>
      </w:r>
      <w:r w:rsidRPr="00F15C89">
        <w:rPr>
          <w:rFonts w:ascii="Arial" w:hAnsi="Arial" w:cs="Arial"/>
          <w:i/>
          <w:iCs/>
        </w:rPr>
        <w:t xml:space="preserve"> Kč, </w:t>
      </w:r>
      <w:r w:rsidR="007301EC" w:rsidRPr="00F15C89">
        <w:rPr>
          <w:rFonts w:ascii="Arial" w:hAnsi="Arial" w:cs="Arial"/>
          <w:i/>
          <w:iCs/>
        </w:rPr>
        <w:t>celková cena zakázky by se tak u 10 000</w:t>
      </w:r>
      <w:r w:rsidR="000A10EB" w:rsidRPr="00F15C89">
        <w:rPr>
          <w:rFonts w:ascii="Arial" w:hAnsi="Arial" w:cs="Arial"/>
          <w:i/>
          <w:iCs/>
        </w:rPr>
        <w:t xml:space="preserve"> </w:t>
      </w:r>
      <w:r w:rsidR="007301EC" w:rsidRPr="00F15C89">
        <w:rPr>
          <w:rFonts w:ascii="Arial" w:hAnsi="Arial" w:cs="Arial"/>
          <w:i/>
          <w:iCs/>
        </w:rPr>
        <w:t>000,- Kč zvýšila o 264</w:t>
      </w:r>
      <w:r w:rsidR="000A10EB" w:rsidRPr="00F15C89">
        <w:rPr>
          <w:rFonts w:ascii="Arial" w:hAnsi="Arial" w:cs="Arial"/>
          <w:i/>
          <w:iCs/>
        </w:rPr>
        <w:t xml:space="preserve"> 706,8</w:t>
      </w:r>
      <w:r w:rsidR="007301EC" w:rsidRPr="00F15C89">
        <w:rPr>
          <w:rFonts w:ascii="Arial" w:hAnsi="Arial" w:cs="Arial"/>
          <w:i/>
          <w:iCs/>
        </w:rPr>
        <w:t xml:space="preserve"> Kč, tedy 2,</w:t>
      </w:r>
      <w:r w:rsidR="00477383" w:rsidRPr="00F15C89">
        <w:rPr>
          <w:rFonts w:ascii="Arial" w:hAnsi="Arial" w:cs="Arial"/>
          <w:i/>
          <w:iCs/>
        </w:rPr>
        <w:t>65</w:t>
      </w:r>
      <w:r w:rsidR="00477383">
        <w:rPr>
          <w:rFonts w:ascii="Arial" w:hAnsi="Arial" w:cs="Arial"/>
          <w:i/>
          <w:iCs/>
        </w:rPr>
        <w:t> </w:t>
      </w:r>
      <w:r w:rsidR="007301EC" w:rsidRPr="00F15C89">
        <w:rPr>
          <w:rFonts w:ascii="Arial" w:hAnsi="Arial" w:cs="Arial"/>
          <w:i/>
          <w:iCs/>
        </w:rPr>
        <w:t>% na</w:t>
      </w:r>
      <w:r w:rsidR="00E6660A" w:rsidRPr="00F15C89">
        <w:rPr>
          <w:rFonts w:ascii="Arial" w:hAnsi="Arial" w:cs="Arial"/>
          <w:i/>
          <w:iCs/>
        </w:rPr>
        <w:t> </w:t>
      </w:r>
      <w:r w:rsidR="007301EC" w:rsidRPr="00F15C89">
        <w:rPr>
          <w:rFonts w:ascii="Arial" w:hAnsi="Arial" w:cs="Arial"/>
          <w:i/>
          <w:iCs/>
        </w:rPr>
        <w:t>10 264 </w:t>
      </w:r>
      <w:r w:rsidR="000A10EB" w:rsidRPr="00F15C89">
        <w:rPr>
          <w:rFonts w:ascii="Arial" w:hAnsi="Arial" w:cs="Arial"/>
          <w:i/>
          <w:iCs/>
        </w:rPr>
        <w:t>706,8</w:t>
      </w:r>
      <w:r w:rsidR="007301EC" w:rsidRPr="00F15C89">
        <w:rPr>
          <w:rFonts w:ascii="Arial" w:hAnsi="Arial" w:cs="Arial"/>
          <w:i/>
          <w:iCs/>
        </w:rPr>
        <w:t xml:space="preserve"> Kč</w:t>
      </w:r>
      <w:r w:rsidRPr="00F15C89">
        <w:rPr>
          <w:rFonts w:ascii="Arial" w:hAnsi="Arial" w:cs="Arial"/>
          <w:i/>
          <w:iCs/>
        </w:rPr>
        <w:t>.</w:t>
      </w:r>
    </w:p>
    <w:p w14:paraId="7FE69E19" w14:textId="77777777" w:rsidR="006515EB" w:rsidRPr="00F15C89" w:rsidRDefault="006515EB" w:rsidP="00771372">
      <w:pPr>
        <w:spacing w:after="0" w:line="240" w:lineRule="auto"/>
        <w:ind w:left="284"/>
        <w:jc w:val="both"/>
        <w:rPr>
          <w:rFonts w:ascii="Arial" w:hAnsi="Arial" w:cs="Arial"/>
          <w:i/>
          <w:iCs/>
        </w:rPr>
      </w:pPr>
    </w:p>
    <w:p w14:paraId="4D4C0F68" w14:textId="77777777" w:rsidR="006515EB" w:rsidRPr="00F15C89" w:rsidRDefault="006515EB" w:rsidP="00771372">
      <w:pPr>
        <w:spacing w:after="0" w:line="240" w:lineRule="auto"/>
        <w:ind w:left="284"/>
        <w:jc w:val="both"/>
        <w:rPr>
          <w:rFonts w:ascii="Arial" w:hAnsi="Arial" w:cs="Arial"/>
          <w:b/>
          <w:bCs/>
          <w:i/>
          <w:iCs/>
        </w:rPr>
      </w:pPr>
      <w:r w:rsidRPr="00F15C89">
        <w:rPr>
          <w:rFonts w:ascii="Arial" w:hAnsi="Arial" w:cs="Arial"/>
          <w:b/>
          <w:bCs/>
          <w:i/>
          <w:iCs/>
        </w:rPr>
        <w:t>Scénář 3 – Hovězí – směsný balíček</w:t>
      </w:r>
    </w:p>
    <w:p w14:paraId="344DCFFD" w14:textId="3956C0A7"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Z praktických důvodů řada producentů hovězího (zejména střední a malé podniky) preferuje prodej hovězího ve formě balíčků obsahující směs různých typů masa, případně i kosti (běžně např. hovězí přední, hovězí zadní, kližka, žebro, plec, mleté hovězí, v některých případech i roštěná). Toto složení je v praxi dobře uplatnitelné i ve větších stravovacích zařízeních. Cena obdobných balíčků v biokvalitě je o zpravidla o 10 % až 40 % vyšší oproti konvenčnímu ekvivalentu.</w:t>
      </w:r>
    </w:p>
    <w:p w14:paraId="2830ECDC" w14:textId="77777777" w:rsidR="006515EB" w:rsidRPr="00F15C89" w:rsidRDefault="006515EB" w:rsidP="00771372">
      <w:pPr>
        <w:spacing w:after="0" w:line="240" w:lineRule="auto"/>
        <w:ind w:left="284"/>
        <w:jc w:val="both"/>
        <w:rPr>
          <w:rFonts w:ascii="Arial" w:hAnsi="Arial" w:cs="Arial"/>
          <w:i/>
          <w:iCs/>
        </w:rPr>
      </w:pPr>
    </w:p>
    <w:p w14:paraId="77FB867D" w14:textId="77777777"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lastRenderedPageBreak/>
        <w:t xml:space="preserve">Pro výpočet byla zvolena cena konvenčního masa ve směsném balíčku 220,- Kč/kg a cena u masa v biokvalitě 280,- Kč/kg. </w:t>
      </w:r>
    </w:p>
    <w:p w14:paraId="0763700F" w14:textId="77777777" w:rsidR="006515EB" w:rsidRPr="00F15C89" w:rsidRDefault="006515EB" w:rsidP="00771372">
      <w:pPr>
        <w:spacing w:after="0" w:line="240" w:lineRule="auto"/>
        <w:ind w:left="284"/>
        <w:jc w:val="both"/>
        <w:rPr>
          <w:rFonts w:ascii="Arial" w:hAnsi="Arial" w:cs="Arial"/>
          <w:i/>
          <w:iCs/>
        </w:rPr>
      </w:pPr>
    </w:p>
    <w:p w14:paraId="0CCEB2AA" w14:textId="3423B459"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V modelové zakázce v hodnotě 10 000 000,- Kč by tedy konvenční maso ze směsného balíčku v hodnotě 500</w:t>
      </w:r>
      <w:r w:rsidR="007005C8" w:rsidRPr="00F15C89">
        <w:rPr>
          <w:rFonts w:ascii="Arial" w:hAnsi="Arial" w:cs="Arial"/>
          <w:i/>
          <w:iCs/>
        </w:rPr>
        <w:t xml:space="preserve"> </w:t>
      </w:r>
      <w:r w:rsidRPr="00F15C89">
        <w:rPr>
          <w:rFonts w:ascii="Arial" w:hAnsi="Arial" w:cs="Arial"/>
          <w:i/>
          <w:iCs/>
        </w:rPr>
        <w:t xml:space="preserve">000,- Kč (5 % ceny) činilo 2 </w:t>
      </w:r>
      <w:r w:rsidR="007005C8" w:rsidRPr="00F15C89">
        <w:rPr>
          <w:rFonts w:ascii="Arial" w:hAnsi="Arial" w:cs="Arial"/>
          <w:i/>
          <w:iCs/>
        </w:rPr>
        <w:t>272,7</w:t>
      </w:r>
      <w:r w:rsidRPr="00F15C89">
        <w:rPr>
          <w:rFonts w:ascii="Arial" w:hAnsi="Arial" w:cs="Arial"/>
          <w:i/>
          <w:iCs/>
        </w:rPr>
        <w:t xml:space="preserve"> kg</w:t>
      </w:r>
      <w:r w:rsidR="007005C8" w:rsidRPr="00F15C89">
        <w:rPr>
          <w:rFonts w:ascii="Arial" w:hAnsi="Arial" w:cs="Arial"/>
          <w:i/>
          <w:iCs/>
        </w:rPr>
        <w:t xml:space="preserve"> (zaokrouhleno na jedno desetinné místo).</w:t>
      </w:r>
      <w:r w:rsidRPr="00F15C89">
        <w:rPr>
          <w:rFonts w:ascii="Arial" w:hAnsi="Arial" w:cs="Arial"/>
          <w:i/>
          <w:iCs/>
        </w:rPr>
        <w:t xml:space="preserve"> Stejné množství v</w:t>
      </w:r>
      <w:r w:rsidR="007005C8" w:rsidRPr="00F15C89">
        <w:rPr>
          <w:rFonts w:ascii="Arial" w:hAnsi="Arial" w:cs="Arial"/>
          <w:i/>
          <w:iCs/>
        </w:rPr>
        <w:t xml:space="preserve"> </w:t>
      </w:r>
      <w:r w:rsidRPr="00F15C89">
        <w:rPr>
          <w:rFonts w:ascii="Arial" w:hAnsi="Arial" w:cs="Arial"/>
          <w:i/>
          <w:iCs/>
        </w:rPr>
        <w:t>biokvalitě by</w:t>
      </w:r>
      <w:r w:rsidR="007005C8" w:rsidRPr="00F15C89">
        <w:rPr>
          <w:rFonts w:ascii="Arial" w:hAnsi="Arial" w:cs="Arial"/>
          <w:i/>
          <w:iCs/>
        </w:rPr>
        <w:t xml:space="preserve"> </w:t>
      </w:r>
      <w:r w:rsidRPr="00F15C89">
        <w:rPr>
          <w:rFonts w:ascii="Arial" w:hAnsi="Arial" w:cs="Arial"/>
          <w:i/>
          <w:iCs/>
        </w:rPr>
        <w:t>stálo 636</w:t>
      </w:r>
      <w:r w:rsidR="007005C8" w:rsidRPr="00F15C89">
        <w:rPr>
          <w:rFonts w:ascii="Arial" w:hAnsi="Arial" w:cs="Arial"/>
          <w:i/>
          <w:iCs/>
        </w:rPr>
        <w:t xml:space="preserve"> 356</w:t>
      </w:r>
      <w:r w:rsidRPr="00F15C89">
        <w:rPr>
          <w:rFonts w:ascii="Arial" w:hAnsi="Arial" w:cs="Arial"/>
          <w:i/>
          <w:iCs/>
        </w:rPr>
        <w:t>,- Kč. Celková cena zakázky by se z</w:t>
      </w:r>
      <w:r w:rsidR="007005C8" w:rsidRPr="00F15C89">
        <w:rPr>
          <w:rFonts w:ascii="Arial" w:hAnsi="Arial" w:cs="Arial"/>
          <w:i/>
          <w:iCs/>
        </w:rPr>
        <w:t xml:space="preserve"> </w:t>
      </w:r>
      <w:r w:rsidRPr="00F15C89">
        <w:rPr>
          <w:rFonts w:ascii="Arial" w:hAnsi="Arial" w:cs="Arial"/>
          <w:i/>
          <w:iCs/>
        </w:rPr>
        <w:t>10</w:t>
      </w:r>
      <w:r w:rsidR="007005C8" w:rsidRPr="00F15C89">
        <w:rPr>
          <w:rFonts w:ascii="Arial" w:hAnsi="Arial" w:cs="Arial"/>
          <w:i/>
          <w:iCs/>
        </w:rPr>
        <w:t xml:space="preserve"> </w:t>
      </w:r>
      <w:r w:rsidRPr="00F15C89">
        <w:rPr>
          <w:rFonts w:ascii="Arial" w:hAnsi="Arial" w:cs="Arial"/>
          <w:i/>
          <w:iCs/>
        </w:rPr>
        <w:t>000</w:t>
      </w:r>
      <w:r w:rsidR="007005C8" w:rsidRPr="00F15C89">
        <w:rPr>
          <w:rFonts w:ascii="Arial" w:hAnsi="Arial" w:cs="Arial"/>
          <w:i/>
          <w:iCs/>
        </w:rPr>
        <w:t xml:space="preserve"> </w:t>
      </w:r>
      <w:r w:rsidRPr="00F15C89">
        <w:rPr>
          <w:rFonts w:ascii="Arial" w:hAnsi="Arial" w:cs="Arial"/>
          <w:i/>
          <w:iCs/>
        </w:rPr>
        <w:t>000,- Kč zvýšila o</w:t>
      </w:r>
      <w:r w:rsidR="007005C8" w:rsidRPr="00F15C89">
        <w:rPr>
          <w:rFonts w:ascii="Arial" w:hAnsi="Arial" w:cs="Arial"/>
          <w:i/>
          <w:iCs/>
        </w:rPr>
        <w:t> </w:t>
      </w:r>
      <w:r w:rsidRPr="00F15C89">
        <w:rPr>
          <w:rFonts w:ascii="Arial" w:hAnsi="Arial" w:cs="Arial"/>
          <w:i/>
          <w:iCs/>
        </w:rPr>
        <w:t>136</w:t>
      </w:r>
      <w:r w:rsidR="007005C8" w:rsidRPr="00F15C89">
        <w:rPr>
          <w:rFonts w:ascii="Arial" w:hAnsi="Arial" w:cs="Arial"/>
          <w:i/>
          <w:iCs/>
        </w:rPr>
        <w:t xml:space="preserve"> 356</w:t>
      </w:r>
      <w:r w:rsidRPr="00F15C89">
        <w:rPr>
          <w:rFonts w:ascii="Arial" w:hAnsi="Arial" w:cs="Arial"/>
          <w:i/>
          <w:iCs/>
        </w:rPr>
        <w:t>,- Kč, tedy 1,36 % na 10</w:t>
      </w:r>
      <w:r w:rsidR="007005C8" w:rsidRPr="00F15C89">
        <w:rPr>
          <w:rFonts w:ascii="Arial" w:hAnsi="Arial" w:cs="Arial"/>
          <w:i/>
          <w:iCs/>
        </w:rPr>
        <w:t xml:space="preserve"> </w:t>
      </w:r>
      <w:r w:rsidRPr="00F15C89">
        <w:rPr>
          <w:rFonts w:ascii="Arial" w:hAnsi="Arial" w:cs="Arial"/>
          <w:i/>
          <w:iCs/>
        </w:rPr>
        <w:t>136</w:t>
      </w:r>
      <w:r w:rsidR="007005C8" w:rsidRPr="00F15C89">
        <w:rPr>
          <w:rFonts w:ascii="Arial" w:hAnsi="Arial" w:cs="Arial"/>
          <w:i/>
          <w:iCs/>
        </w:rPr>
        <w:t xml:space="preserve"> 356</w:t>
      </w:r>
      <w:r w:rsidRPr="00F15C89">
        <w:rPr>
          <w:rFonts w:ascii="Arial" w:hAnsi="Arial" w:cs="Arial"/>
          <w:i/>
          <w:iCs/>
        </w:rPr>
        <w:t>,- Kč.</w:t>
      </w:r>
    </w:p>
    <w:p w14:paraId="70A8D49C" w14:textId="77777777" w:rsidR="006515EB" w:rsidRPr="00F15C89" w:rsidRDefault="006515EB" w:rsidP="00771372">
      <w:pPr>
        <w:spacing w:after="0" w:line="240" w:lineRule="auto"/>
        <w:ind w:left="284"/>
        <w:jc w:val="both"/>
        <w:rPr>
          <w:rFonts w:ascii="Arial" w:hAnsi="Arial" w:cs="Arial"/>
          <w:i/>
          <w:iCs/>
        </w:rPr>
      </w:pPr>
    </w:p>
    <w:p w14:paraId="17F14EFF" w14:textId="77777777" w:rsidR="006515EB" w:rsidRPr="00F15C89" w:rsidRDefault="006515EB" w:rsidP="00771372">
      <w:pPr>
        <w:spacing w:after="0" w:line="240" w:lineRule="auto"/>
        <w:ind w:left="284"/>
        <w:jc w:val="both"/>
        <w:rPr>
          <w:rFonts w:ascii="Arial" w:hAnsi="Arial" w:cs="Arial"/>
          <w:b/>
          <w:bCs/>
          <w:i/>
          <w:iCs/>
        </w:rPr>
      </w:pPr>
      <w:r w:rsidRPr="00F15C89">
        <w:rPr>
          <w:rFonts w:ascii="Arial" w:hAnsi="Arial" w:cs="Arial"/>
          <w:b/>
          <w:bCs/>
          <w:i/>
          <w:iCs/>
        </w:rPr>
        <w:t>Scénář 4 – Brambory</w:t>
      </w:r>
    </w:p>
    <w:p w14:paraId="34A8388C" w14:textId="3F3BBEC5"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 xml:space="preserve">U brambor existuje velká variabilita cen daná varným typem, </w:t>
      </w:r>
      <w:r w:rsidR="001001B3" w:rsidRPr="00F15C89">
        <w:rPr>
          <w:rFonts w:ascii="Arial" w:hAnsi="Arial" w:cs="Arial"/>
          <w:i/>
          <w:iCs/>
        </w:rPr>
        <w:t>raností</w:t>
      </w:r>
      <w:r w:rsidRPr="00F15C89">
        <w:rPr>
          <w:rFonts w:ascii="Arial" w:hAnsi="Arial" w:cs="Arial"/>
          <w:i/>
          <w:iCs/>
        </w:rPr>
        <w:t>, stupněm zpracování, odrůdou, sezónními výkyvy a dalšími faktory. Pro výpočet byly použity pozdní brambory, varný typ A, prané.</w:t>
      </w:r>
    </w:p>
    <w:p w14:paraId="348E22A9" w14:textId="77777777" w:rsidR="006515EB" w:rsidRPr="00F15C89" w:rsidRDefault="006515EB" w:rsidP="00771372">
      <w:pPr>
        <w:spacing w:after="0" w:line="240" w:lineRule="auto"/>
        <w:ind w:left="284"/>
        <w:jc w:val="both"/>
        <w:rPr>
          <w:rFonts w:ascii="Arial" w:hAnsi="Arial" w:cs="Arial"/>
          <w:i/>
          <w:iCs/>
        </w:rPr>
      </w:pPr>
    </w:p>
    <w:p w14:paraId="4BD47207" w14:textId="77777777"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 xml:space="preserve">Pro výpočet byla zvolena cena konvenčních brambor 20,- Kč/kg a cena u brambor v biokvalitě 34,- Kč/kg. </w:t>
      </w:r>
    </w:p>
    <w:p w14:paraId="30275F12" w14:textId="77777777" w:rsidR="006515EB" w:rsidRPr="00F15C89" w:rsidRDefault="006515EB" w:rsidP="00771372">
      <w:pPr>
        <w:spacing w:after="0" w:line="240" w:lineRule="auto"/>
        <w:ind w:left="284"/>
        <w:jc w:val="both"/>
        <w:rPr>
          <w:rFonts w:ascii="Arial" w:hAnsi="Arial" w:cs="Arial"/>
          <w:i/>
          <w:iCs/>
        </w:rPr>
      </w:pPr>
    </w:p>
    <w:p w14:paraId="7176F7EC" w14:textId="3B4D45C4" w:rsidR="006515EB" w:rsidRPr="00F15C89" w:rsidRDefault="006515EB" w:rsidP="00771372">
      <w:pPr>
        <w:spacing w:after="0" w:line="240" w:lineRule="auto"/>
        <w:ind w:left="284"/>
        <w:jc w:val="both"/>
        <w:rPr>
          <w:rFonts w:ascii="Arial" w:hAnsi="Arial" w:cs="Arial"/>
          <w:i/>
          <w:iCs/>
        </w:rPr>
      </w:pPr>
      <w:r w:rsidRPr="00F15C89">
        <w:rPr>
          <w:rFonts w:ascii="Arial" w:hAnsi="Arial" w:cs="Arial"/>
          <w:i/>
          <w:iCs/>
        </w:rPr>
        <w:t>V modelové zakázce v hodnotě 10 000 000,- Kč by tedy brambory v hodnotě 500 000,- Kč (5 % ceny) činily 25 000 kg. Stejné množství v biokvalitě by stálo 850 000,- Kč. Celková cena zakázky by se z 10 000 000,- Kč zvýšila o 35</w:t>
      </w:r>
      <w:r w:rsidR="001001B3" w:rsidRPr="00F15C89">
        <w:rPr>
          <w:rFonts w:ascii="Arial" w:hAnsi="Arial" w:cs="Arial"/>
          <w:i/>
          <w:iCs/>
        </w:rPr>
        <w:t>0</w:t>
      </w:r>
      <w:r w:rsidRPr="00F15C89">
        <w:rPr>
          <w:rFonts w:ascii="Arial" w:hAnsi="Arial" w:cs="Arial"/>
          <w:i/>
          <w:iCs/>
        </w:rPr>
        <w:t> 000,- Kč, tedy 3,5 % na 10 350 000,- Kč.</w:t>
      </w:r>
    </w:p>
    <w:p w14:paraId="7C121663" w14:textId="77777777" w:rsidR="006515EB" w:rsidRPr="00F15C89" w:rsidRDefault="006515EB" w:rsidP="00771372">
      <w:pPr>
        <w:spacing w:after="0" w:line="240" w:lineRule="auto"/>
        <w:ind w:left="284"/>
        <w:jc w:val="both"/>
        <w:rPr>
          <w:rFonts w:ascii="Arial" w:hAnsi="Arial" w:cs="Arial"/>
          <w:i/>
          <w:iCs/>
        </w:rPr>
      </w:pPr>
    </w:p>
    <w:p w14:paraId="5CF1C554" w14:textId="106E1289" w:rsidR="006515EB" w:rsidRPr="00F15C89" w:rsidRDefault="007B1CF8" w:rsidP="00771372">
      <w:pPr>
        <w:pStyle w:val="Titulek"/>
        <w:ind w:left="284"/>
        <w:jc w:val="both"/>
        <w:rPr>
          <w:rFonts w:ascii="Arial" w:hAnsi="Arial" w:cs="Arial"/>
          <w:sz w:val="22"/>
          <w:szCs w:val="22"/>
        </w:rPr>
      </w:pPr>
      <w:bookmarkStart w:id="6" w:name="_Toc194053149"/>
      <w:r w:rsidRPr="00F15C89">
        <w:rPr>
          <w:rFonts w:ascii="Arial" w:hAnsi="Arial" w:cs="Arial"/>
          <w:sz w:val="22"/>
          <w:szCs w:val="22"/>
        </w:rPr>
        <w:t xml:space="preserve">Tabulka </w:t>
      </w:r>
      <w:r w:rsidRPr="00F15C89">
        <w:rPr>
          <w:rFonts w:ascii="Arial" w:hAnsi="Arial" w:cs="Arial"/>
          <w:sz w:val="22"/>
          <w:szCs w:val="22"/>
        </w:rPr>
        <w:fldChar w:fldCharType="begin"/>
      </w:r>
      <w:r w:rsidRPr="00F15C89">
        <w:rPr>
          <w:rFonts w:ascii="Arial" w:hAnsi="Arial" w:cs="Arial"/>
          <w:sz w:val="22"/>
          <w:szCs w:val="22"/>
        </w:rPr>
        <w:instrText xml:space="preserve"> SEQ Tabulka \* ARABIC </w:instrText>
      </w:r>
      <w:r w:rsidRPr="00F15C89">
        <w:rPr>
          <w:rFonts w:ascii="Arial" w:hAnsi="Arial" w:cs="Arial"/>
          <w:sz w:val="22"/>
          <w:szCs w:val="22"/>
        </w:rPr>
        <w:fldChar w:fldCharType="separate"/>
      </w:r>
      <w:r w:rsidRPr="00F15C89">
        <w:rPr>
          <w:rFonts w:ascii="Arial" w:hAnsi="Arial" w:cs="Arial"/>
          <w:sz w:val="22"/>
          <w:szCs w:val="22"/>
        </w:rPr>
        <w:t>3</w:t>
      </w:r>
      <w:r w:rsidRPr="00F15C89">
        <w:rPr>
          <w:rFonts w:ascii="Arial" w:hAnsi="Arial" w:cs="Arial"/>
          <w:sz w:val="22"/>
          <w:szCs w:val="22"/>
        </w:rPr>
        <w:fldChar w:fldCharType="end"/>
      </w:r>
      <w:r w:rsidRPr="00F15C89">
        <w:rPr>
          <w:rFonts w:ascii="Arial" w:hAnsi="Arial" w:cs="Arial"/>
          <w:sz w:val="22"/>
          <w:szCs w:val="22"/>
        </w:rPr>
        <w:t xml:space="preserve"> Souhrn scénářů modelujících navýšení ceny veřejné zakázky v hodnotě 10 000 000,- Kč zakázek při zařazení bioproduktů v hodnotě 5 % z ceny zakázky</w:t>
      </w:r>
      <w:bookmarkEnd w:id="6"/>
    </w:p>
    <w:tbl>
      <w:tblPr>
        <w:tblStyle w:val="Mkatabulky1"/>
        <w:tblW w:w="0" w:type="auto"/>
        <w:tblLook w:val="04A0" w:firstRow="1" w:lastRow="0" w:firstColumn="1" w:lastColumn="0" w:noHBand="0" w:noVBand="1"/>
      </w:tblPr>
      <w:tblGrid>
        <w:gridCol w:w="2375"/>
        <w:gridCol w:w="1048"/>
        <w:gridCol w:w="1658"/>
        <w:gridCol w:w="1233"/>
        <w:gridCol w:w="1374"/>
        <w:gridCol w:w="1374"/>
      </w:tblGrid>
      <w:tr w:rsidR="00741F82" w:rsidRPr="00F15C89" w14:paraId="2FDE9463" w14:textId="77777777">
        <w:tc>
          <w:tcPr>
            <w:tcW w:w="2405" w:type="dxa"/>
          </w:tcPr>
          <w:p w14:paraId="7246C70A"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Produkt (jednotka)</w:t>
            </w:r>
          </w:p>
        </w:tc>
        <w:tc>
          <w:tcPr>
            <w:tcW w:w="992" w:type="dxa"/>
          </w:tcPr>
          <w:p w14:paraId="204EB94E"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Cena za jednotku (Kč)</w:t>
            </w:r>
          </w:p>
        </w:tc>
        <w:tc>
          <w:tcPr>
            <w:tcW w:w="1672" w:type="dxa"/>
          </w:tcPr>
          <w:p w14:paraId="0727A3C1"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Množství pro dosažení 5 %* z ceny zakázky (konv.)</w:t>
            </w:r>
          </w:p>
        </w:tc>
        <w:tc>
          <w:tcPr>
            <w:tcW w:w="1234" w:type="dxa"/>
          </w:tcPr>
          <w:p w14:paraId="16C1E25B"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Cena celkem</w:t>
            </w:r>
          </w:p>
        </w:tc>
        <w:tc>
          <w:tcPr>
            <w:tcW w:w="1379" w:type="dxa"/>
          </w:tcPr>
          <w:p w14:paraId="27157C3A"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Navýšení ceny zakázky (Kč)</w:t>
            </w:r>
          </w:p>
        </w:tc>
        <w:tc>
          <w:tcPr>
            <w:tcW w:w="1380" w:type="dxa"/>
          </w:tcPr>
          <w:p w14:paraId="7E4B7543"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Navýšení ceny zakázky (%)</w:t>
            </w:r>
          </w:p>
        </w:tc>
      </w:tr>
      <w:tr w:rsidR="00741F82" w:rsidRPr="00F15C89" w14:paraId="110FF9E4" w14:textId="77777777">
        <w:tc>
          <w:tcPr>
            <w:tcW w:w="2405" w:type="dxa"/>
          </w:tcPr>
          <w:p w14:paraId="08EF55FC"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Hovězí zadní – konvenční (kg)</w:t>
            </w:r>
          </w:p>
        </w:tc>
        <w:tc>
          <w:tcPr>
            <w:tcW w:w="992" w:type="dxa"/>
          </w:tcPr>
          <w:p w14:paraId="60C26AFA"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185</w:t>
            </w:r>
          </w:p>
        </w:tc>
        <w:tc>
          <w:tcPr>
            <w:tcW w:w="1672" w:type="dxa"/>
          </w:tcPr>
          <w:p w14:paraId="1D8EEF22"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2 702,7</w:t>
            </w:r>
          </w:p>
        </w:tc>
        <w:tc>
          <w:tcPr>
            <w:tcW w:w="1234" w:type="dxa"/>
          </w:tcPr>
          <w:p w14:paraId="0F78BDED"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500 000</w:t>
            </w:r>
          </w:p>
        </w:tc>
        <w:tc>
          <w:tcPr>
            <w:tcW w:w="1379" w:type="dxa"/>
          </w:tcPr>
          <w:p w14:paraId="261AE705"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w:t>
            </w:r>
          </w:p>
        </w:tc>
        <w:tc>
          <w:tcPr>
            <w:tcW w:w="1380" w:type="dxa"/>
          </w:tcPr>
          <w:p w14:paraId="711D6DF3"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w:t>
            </w:r>
          </w:p>
        </w:tc>
      </w:tr>
      <w:tr w:rsidR="00741F82" w:rsidRPr="00F15C89" w14:paraId="1511B57F" w14:textId="77777777">
        <w:tc>
          <w:tcPr>
            <w:tcW w:w="2405" w:type="dxa"/>
          </w:tcPr>
          <w:p w14:paraId="2CF267FC"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Hovězí zadní – bio (kg)</w:t>
            </w:r>
          </w:p>
        </w:tc>
        <w:tc>
          <w:tcPr>
            <w:tcW w:w="992" w:type="dxa"/>
          </w:tcPr>
          <w:p w14:paraId="6A8C0550"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340</w:t>
            </w:r>
          </w:p>
        </w:tc>
        <w:tc>
          <w:tcPr>
            <w:tcW w:w="1672" w:type="dxa"/>
          </w:tcPr>
          <w:p w14:paraId="18B4B4F1"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2 702,7</w:t>
            </w:r>
          </w:p>
        </w:tc>
        <w:tc>
          <w:tcPr>
            <w:tcW w:w="1234" w:type="dxa"/>
          </w:tcPr>
          <w:p w14:paraId="678E4416"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918 918</w:t>
            </w:r>
          </w:p>
        </w:tc>
        <w:tc>
          <w:tcPr>
            <w:tcW w:w="1379" w:type="dxa"/>
          </w:tcPr>
          <w:p w14:paraId="57D6E538"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418 918</w:t>
            </w:r>
          </w:p>
        </w:tc>
        <w:tc>
          <w:tcPr>
            <w:tcW w:w="1380" w:type="dxa"/>
          </w:tcPr>
          <w:p w14:paraId="6A247E64"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4,19</w:t>
            </w:r>
          </w:p>
        </w:tc>
      </w:tr>
      <w:tr w:rsidR="00741F82" w:rsidRPr="00F15C89" w14:paraId="16C59205" w14:textId="77777777">
        <w:tc>
          <w:tcPr>
            <w:tcW w:w="2405" w:type="dxa"/>
          </w:tcPr>
          <w:p w14:paraId="636C8394"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Mléko plnotučné – konvenční (l)</w:t>
            </w:r>
          </w:p>
        </w:tc>
        <w:tc>
          <w:tcPr>
            <w:tcW w:w="992" w:type="dxa"/>
          </w:tcPr>
          <w:p w14:paraId="5500B8AE"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19</w:t>
            </w:r>
          </w:p>
        </w:tc>
        <w:tc>
          <w:tcPr>
            <w:tcW w:w="1672" w:type="dxa"/>
          </w:tcPr>
          <w:p w14:paraId="17B9C4FA"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26 315,8</w:t>
            </w:r>
          </w:p>
        </w:tc>
        <w:tc>
          <w:tcPr>
            <w:tcW w:w="1234" w:type="dxa"/>
          </w:tcPr>
          <w:p w14:paraId="4CC67586"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500 000</w:t>
            </w:r>
          </w:p>
        </w:tc>
        <w:tc>
          <w:tcPr>
            <w:tcW w:w="1379" w:type="dxa"/>
          </w:tcPr>
          <w:p w14:paraId="74977330"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w:t>
            </w:r>
          </w:p>
        </w:tc>
        <w:tc>
          <w:tcPr>
            <w:tcW w:w="1380" w:type="dxa"/>
          </w:tcPr>
          <w:p w14:paraId="712AECA6"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w:t>
            </w:r>
          </w:p>
        </w:tc>
      </w:tr>
      <w:tr w:rsidR="00741F82" w:rsidRPr="00F15C89" w14:paraId="34F450FE" w14:textId="77777777">
        <w:tc>
          <w:tcPr>
            <w:tcW w:w="2405" w:type="dxa"/>
          </w:tcPr>
          <w:p w14:paraId="347F8B14"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Mléko – bio (l)</w:t>
            </w:r>
          </w:p>
        </w:tc>
        <w:tc>
          <w:tcPr>
            <w:tcW w:w="992" w:type="dxa"/>
          </w:tcPr>
          <w:p w14:paraId="1C076020"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26</w:t>
            </w:r>
          </w:p>
        </w:tc>
        <w:tc>
          <w:tcPr>
            <w:tcW w:w="1672" w:type="dxa"/>
          </w:tcPr>
          <w:p w14:paraId="61FF67A4"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26 315,8</w:t>
            </w:r>
          </w:p>
        </w:tc>
        <w:tc>
          <w:tcPr>
            <w:tcW w:w="1234" w:type="dxa"/>
          </w:tcPr>
          <w:p w14:paraId="1E37EB60"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684 203</w:t>
            </w:r>
          </w:p>
        </w:tc>
        <w:tc>
          <w:tcPr>
            <w:tcW w:w="1379" w:type="dxa"/>
          </w:tcPr>
          <w:p w14:paraId="624D91D2"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184 203</w:t>
            </w:r>
          </w:p>
        </w:tc>
        <w:tc>
          <w:tcPr>
            <w:tcW w:w="1380" w:type="dxa"/>
          </w:tcPr>
          <w:p w14:paraId="54E01E39"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1,84</w:t>
            </w:r>
          </w:p>
        </w:tc>
      </w:tr>
      <w:tr w:rsidR="00741F82" w:rsidRPr="00F15C89" w14:paraId="7E3F9646" w14:textId="77777777">
        <w:tc>
          <w:tcPr>
            <w:tcW w:w="2405" w:type="dxa"/>
          </w:tcPr>
          <w:p w14:paraId="1BD3E369"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Mléko polotučné – konvenční (l)</w:t>
            </w:r>
          </w:p>
        </w:tc>
        <w:tc>
          <w:tcPr>
            <w:tcW w:w="992" w:type="dxa"/>
          </w:tcPr>
          <w:p w14:paraId="2AC80365"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17</w:t>
            </w:r>
          </w:p>
        </w:tc>
        <w:tc>
          <w:tcPr>
            <w:tcW w:w="1672" w:type="dxa"/>
          </w:tcPr>
          <w:p w14:paraId="563701C5"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29 411,8</w:t>
            </w:r>
          </w:p>
        </w:tc>
        <w:tc>
          <w:tcPr>
            <w:tcW w:w="1234" w:type="dxa"/>
          </w:tcPr>
          <w:p w14:paraId="174BD8BB"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500 000</w:t>
            </w:r>
          </w:p>
        </w:tc>
        <w:tc>
          <w:tcPr>
            <w:tcW w:w="1379" w:type="dxa"/>
          </w:tcPr>
          <w:p w14:paraId="53C64291"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w:t>
            </w:r>
          </w:p>
        </w:tc>
        <w:tc>
          <w:tcPr>
            <w:tcW w:w="1380" w:type="dxa"/>
          </w:tcPr>
          <w:p w14:paraId="77F49D33"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w:t>
            </w:r>
          </w:p>
        </w:tc>
      </w:tr>
      <w:tr w:rsidR="00741F82" w:rsidRPr="00F15C89" w14:paraId="24AB7908" w14:textId="77777777">
        <w:tc>
          <w:tcPr>
            <w:tcW w:w="2405" w:type="dxa"/>
          </w:tcPr>
          <w:p w14:paraId="6874F93B"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Mléko – bio (l)</w:t>
            </w:r>
          </w:p>
        </w:tc>
        <w:tc>
          <w:tcPr>
            <w:tcW w:w="992" w:type="dxa"/>
          </w:tcPr>
          <w:p w14:paraId="6A8A4BBC"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26</w:t>
            </w:r>
          </w:p>
        </w:tc>
        <w:tc>
          <w:tcPr>
            <w:tcW w:w="1672" w:type="dxa"/>
          </w:tcPr>
          <w:p w14:paraId="56885C70"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29 411,8</w:t>
            </w:r>
          </w:p>
        </w:tc>
        <w:tc>
          <w:tcPr>
            <w:tcW w:w="1234" w:type="dxa"/>
          </w:tcPr>
          <w:p w14:paraId="484F192B"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764 706,8</w:t>
            </w:r>
          </w:p>
        </w:tc>
        <w:tc>
          <w:tcPr>
            <w:tcW w:w="1379" w:type="dxa"/>
          </w:tcPr>
          <w:p w14:paraId="1D85505A"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264 706,8</w:t>
            </w:r>
          </w:p>
        </w:tc>
        <w:tc>
          <w:tcPr>
            <w:tcW w:w="1380" w:type="dxa"/>
          </w:tcPr>
          <w:p w14:paraId="1E685C59"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2,65</w:t>
            </w:r>
          </w:p>
        </w:tc>
      </w:tr>
      <w:tr w:rsidR="00741F82" w:rsidRPr="00F15C89" w14:paraId="6F7DC414" w14:textId="77777777">
        <w:tc>
          <w:tcPr>
            <w:tcW w:w="2405" w:type="dxa"/>
          </w:tcPr>
          <w:p w14:paraId="614EF24F"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 xml:space="preserve">Hovězí směsný balíček – konvenční (kg) </w:t>
            </w:r>
          </w:p>
        </w:tc>
        <w:tc>
          <w:tcPr>
            <w:tcW w:w="992" w:type="dxa"/>
          </w:tcPr>
          <w:p w14:paraId="2CB2A8B4"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220</w:t>
            </w:r>
          </w:p>
        </w:tc>
        <w:tc>
          <w:tcPr>
            <w:tcW w:w="1672" w:type="dxa"/>
          </w:tcPr>
          <w:p w14:paraId="5CFEB95C"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2 272,7</w:t>
            </w:r>
          </w:p>
        </w:tc>
        <w:tc>
          <w:tcPr>
            <w:tcW w:w="1234" w:type="dxa"/>
          </w:tcPr>
          <w:p w14:paraId="3319F290"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500 000</w:t>
            </w:r>
          </w:p>
        </w:tc>
        <w:tc>
          <w:tcPr>
            <w:tcW w:w="1379" w:type="dxa"/>
          </w:tcPr>
          <w:p w14:paraId="057B469F"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w:t>
            </w:r>
          </w:p>
        </w:tc>
        <w:tc>
          <w:tcPr>
            <w:tcW w:w="1380" w:type="dxa"/>
          </w:tcPr>
          <w:p w14:paraId="6551001A"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w:t>
            </w:r>
          </w:p>
        </w:tc>
      </w:tr>
      <w:tr w:rsidR="00741F82" w:rsidRPr="00F15C89" w14:paraId="7E18C6B0" w14:textId="77777777">
        <w:tc>
          <w:tcPr>
            <w:tcW w:w="2405" w:type="dxa"/>
          </w:tcPr>
          <w:p w14:paraId="46D81CEA"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Hovězí směsný balíček – bio (kg)</w:t>
            </w:r>
          </w:p>
        </w:tc>
        <w:tc>
          <w:tcPr>
            <w:tcW w:w="992" w:type="dxa"/>
          </w:tcPr>
          <w:p w14:paraId="6BDA1B57"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280</w:t>
            </w:r>
          </w:p>
        </w:tc>
        <w:tc>
          <w:tcPr>
            <w:tcW w:w="1672" w:type="dxa"/>
          </w:tcPr>
          <w:p w14:paraId="2957CCBF"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2 272,7</w:t>
            </w:r>
          </w:p>
        </w:tc>
        <w:tc>
          <w:tcPr>
            <w:tcW w:w="1234" w:type="dxa"/>
          </w:tcPr>
          <w:p w14:paraId="285683D8"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636 356</w:t>
            </w:r>
          </w:p>
        </w:tc>
        <w:tc>
          <w:tcPr>
            <w:tcW w:w="1379" w:type="dxa"/>
          </w:tcPr>
          <w:p w14:paraId="1A0CC1C0"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136 356</w:t>
            </w:r>
          </w:p>
        </w:tc>
        <w:tc>
          <w:tcPr>
            <w:tcW w:w="1380" w:type="dxa"/>
          </w:tcPr>
          <w:p w14:paraId="767192C7"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1,36</w:t>
            </w:r>
          </w:p>
        </w:tc>
      </w:tr>
      <w:tr w:rsidR="00741F82" w:rsidRPr="00F15C89" w14:paraId="6A1A271B" w14:textId="77777777">
        <w:tc>
          <w:tcPr>
            <w:tcW w:w="2405" w:type="dxa"/>
          </w:tcPr>
          <w:p w14:paraId="178B4B72"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Brambory – konvenční (kg)</w:t>
            </w:r>
          </w:p>
        </w:tc>
        <w:tc>
          <w:tcPr>
            <w:tcW w:w="992" w:type="dxa"/>
          </w:tcPr>
          <w:p w14:paraId="55DA117B"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20</w:t>
            </w:r>
          </w:p>
        </w:tc>
        <w:tc>
          <w:tcPr>
            <w:tcW w:w="1672" w:type="dxa"/>
          </w:tcPr>
          <w:p w14:paraId="29DD76F3"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25 000</w:t>
            </w:r>
          </w:p>
        </w:tc>
        <w:tc>
          <w:tcPr>
            <w:tcW w:w="1234" w:type="dxa"/>
          </w:tcPr>
          <w:p w14:paraId="302904E5"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500 000</w:t>
            </w:r>
          </w:p>
        </w:tc>
        <w:tc>
          <w:tcPr>
            <w:tcW w:w="1379" w:type="dxa"/>
          </w:tcPr>
          <w:p w14:paraId="30AD9D02"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w:t>
            </w:r>
          </w:p>
        </w:tc>
        <w:tc>
          <w:tcPr>
            <w:tcW w:w="1380" w:type="dxa"/>
          </w:tcPr>
          <w:p w14:paraId="0F6D2B13"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w:t>
            </w:r>
          </w:p>
        </w:tc>
      </w:tr>
      <w:tr w:rsidR="00741F82" w:rsidRPr="00F15C89" w14:paraId="01081589" w14:textId="77777777">
        <w:tc>
          <w:tcPr>
            <w:tcW w:w="2405" w:type="dxa"/>
          </w:tcPr>
          <w:p w14:paraId="085B2149"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Brambory – bio (kg)</w:t>
            </w:r>
          </w:p>
        </w:tc>
        <w:tc>
          <w:tcPr>
            <w:tcW w:w="992" w:type="dxa"/>
          </w:tcPr>
          <w:p w14:paraId="2B18A545"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34</w:t>
            </w:r>
          </w:p>
        </w:tc>
        <w:tc>
          <w:tcPr>
            <w:tcW w:w="1672" w:type="dxa"/>
          </w:tcPr>
          <w:p w14:paraId="6B8900EF"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25 000</w:t>
            </w:r>
          </w:p>
        </w:tc>
        <w:tc>
          <w:tcPr>
            <w:tcW w:w="1234" w:type="dxa"/>
          </w:tcPr>
          <w:p w14:paraId="01F5CBDC"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850 000</w:t>
            </w:r>
          </w:p>
        </w:tc>
        <w:tc>
          <w:tcPr>
            <w:tcW w:w="1379" w:type="dxa"/>
          </w:tcPr>
          <w:p w14:paraId="4D9A744A"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350 000</w:t>
            </w:r>
          </w:p>
        </w:tc>
        <w:tc>
          <w:tcPr>
            <w:tcW w:w="1380" w:type="dxa"/>
          </w:tcPr>
          <w:p w14:paraId="396C0BA9" w14:textId="77777777" w:rsidR="00741F82" w:rsidRPr="00F15C89" w:rsidRDefault="00741F82" w:rsidP="00741F82">
            <w:pPr>
              <w:jc w:val="both"/>
              <w:rPr>
                <w:rFonts w:ascii="Arial" w:eastAsia="Aptos" w:hAnsi="Arial" w:cs="Arial"/>
                <w:i/>
                <w:iCs/>
              </w:rPr>
            </w:pPr>
            <w:r w:rsidRPr="00F15C89">
              <w:rPr>
                <w:rFonts w:ascii="Arial" w:eastAsia="Aptos" w:hAnsi="Arial" w:cs="Arial"/>
                <w:i/>
                <w:iCs/>
              </w:rPr>
              <w:t>3,5</w:t>
            </w:r>
          </w:p>
        </w:tc>
      </w:tr>
    </w:tbl>
    <w:p w14:paraId="63FB0C38" w14:textId="74B8C3E8" w:rsidR="006515EB" w:rsidRPr="00F15C89" w:rsidRDefault="006515EB" w:rsidP="001F72F9">
      <w:pPr>
        <w:spacing w:after="0" w:line="240" w:lineRule="auto"/>
        <w:jc w:val="both"/>
        <w:rPr>
          <w:rFonts w:ascii="Arial" w:hAnsi="Arial" w:cs="Arial"/>
          <w:i/>
          <w:iCs/>
        </w:rPr>
      </w:pPr>
      <w:r w:rsidRPr="00F15C89">
        <w:rPr>
          <w:rFonts w:ascii="Arial" w:hAnsi="Arial" w:cs="Arial"/>
          <w:i/>
          <w:iCs/>
        </w:rPr>
        <w:t>Zdroj: vlastní výpočty</w:t>
      </w:r>
    </w:p>
    <w:p w14:paraId="7F268B2C" w14:textId="77777777" w:rsidR="00E03444" w:rsidRPr="00F15C89" w:rsidRDefault="00E03444" w:rsidP="00F6573E">
      <w:pPr>
        <w:spacing w:after="0" w:line="240" w:lineRule="auto"/>
        <w:ind w:left="284"/>
        <w:jc w:val="both"/>
        <w:rPr>
          <w:rFonts w:ascii="Arial" w:hAnsi="Arial" w:cs="Arial"/>
          <w:i/>
          <w:iCs/>
        </w:rPr>
      </w:pPr>
    </w:p>
    <w:p w14:paraId="67E32D1F" w14:textId="11AB9958" w:rsidR="006515EB" w:rsidRPr="00F15C89" w:rsidRDefault="006515EB" w:rsidP="00F6573E">
      <w:pPr>
        <w:spacing w:after="0" w:line="240" w:lineRule="auto"/>
        <w:ind w:left="284"/>
        <w:jc w:val="both"/>
        <w:rPr>
          <w:rFonts w:ascii="Arial" w:hAnsi="Arial" w:cs="Arial"/>
          <w:i/>
          <w:iCs/>
        </w:rPr>
      </w:pPr>
      <w:r w:rsidRPr="00F15C89">
        <w:rPr>
          <w:rFonts w:ascii="Arial" w:hAnsi="Arial" w:cs="Arial"/>
          <w:i/>
          <w:iCs/>
        </w:rPr>
        <w:t>Při zavádění bio</w:t>
      </w:r>
      <w:r w:rsidR="00FB1261" w:rsidRPr="00F15C89">
        <w:rPr>
          <w:rFonts w:ascii="Arial" w:hAnsi="Arial" w:cs="Arial"/>
          <w:i/>
          <w:iCs/>
        </w:rPr>
        <w:t>potravin</w:t>
      </w:r>
      <w:r w:rsidRPr="00F15C89">
        <w:rPr>
          <w:rFonts w:ascii="Arial" w:hAnsi="Arial" w:cs="Arial"/>
          <w:i/>
          <w:iCs/>
        </w:rPr>
        <w:t xml:space="preserve"> v hodnotě pětiprocentního podílu z ceny veřejné zakázky lze při volbě vhodných produktů tedy očekávat nárůst cen v nižších jednotkách procent, přičemž z dlouhodobého hlediska (v návaznosti na očekávané širší zapojení bioproducentů, řešení logistických </w:t>
      </w:r>
      <w:r w:rsidR="002B6D15" w:rsidRPr="00F15C89">
        <w:rPr>
          <w:rFonts w:ascii="Arial" w:hAnsi="Arial" w:cs="Arial"/>
          <w:i/>
          <w:iCs/>
        </w:rPr>
        <w:t>otázek</w:t>
      </w:r>
      <w:r w:rsidRPr="00F15C89">
        <w:rPr>
          <w:rFonts w:ascii="Arial" w:hAnsi="Arial" w:cs="Arial"/>
          <w:i/>
          <w:iCs/>
        </w:rPr>
        <w:t xml:space="preserve"> atp.) lze očekávat spíše snižování tohoto rozdílu.</w:t>
      </w:r>
    </w:p>
    <w:p w14:paraId="16BBDA2D" w14:textId="3154CE38" w:rsidR="00F13BB9" w:rsidRPr="00F15C89" w:rsidRDefault="001B300E" w:rsidP="000E3C00">
      <w:pPr>
        <w:pStyle w:val="Normlnweb"/>
        <w:ind w:firstLine="426"/>
        <w:jc w:val="both"/>
        <w:rPr>
          <w:rFonts w:ascii="Arial" w:hAnsi="Arial" w:cs="Arial"/>
          <w:color w:val="000000"/>
          <w:sz w:val="22"/>
          <w:szCs w:val="22"/>
        </w:rPr>
      </w:pPr>
      <w:r w:rsidRPr="00F15C89">
        <w:rPr>
          <w:rFonts w:ascii="Arial" w:hAnsi="Arial" w:cs="Arial"/>
          <w:sz w:val="22"/>
          <w:szCs w:val="22"/>
        </w:rPr>
        <w:lastRenderedPageBreak/>
        <w:t>I když byly výše uvedené výpočty modelovány</w:t>
      </w:r>
      <w:r w:rsidR="0034353A" w:rsidRPr="00F15C89">
        <w:rPr>
          <w:rFonts w:ascii="Arial" w:hAnsi="Arial" w:cs="Arial"/>
          <w:sz w:val="22"/>
          <w:szCs w:val="22"/>
        </w:rPr>
        <w:t xml:space="preserve"> na jednu veřejnou zakázku, v praxi </w:t>
      </w:r>
      <w:r w:rsidR="00474595" w:rsidRPr="00F15C89">
        <w:rPr>
          <w:rFonts w:ascii="Arial" w:hAnsi="Arial" w:cs="Arial"/>
          <w:sz w:val="22"/>
          <w:szCs w:val="22"/>
        </w:rPr>
        <w:t>nebude muset veřejný zadavatel d</w:t>
      </w:r>
      <w:r w:rsidR="00F13BB9" w:rsidRPr="00F15C89">
        <w:rPr>
          <w:rFonts w:ascii="Arial" w:hAnsi="Arial" w:cs="Arial"/>
          <w:sz w:val="22"/>
          <w:szCs w:val="22"/>
        </w:rPr>
        <w:t xml:space="preserve">osáhnout podílu biopotravin v každé jednotlivé veřejné zakázce, ale bude se jednat o podíl určený </w:t>
      </w:r>
      <w:r w:rsidR="00474595" w:rsidRPr="00F15C89">
        <w:rPr>
          <w:rFonts w:ascii="Arial" w:hAnsi="Arial" w:cs="Arial"/>
          <w:sz w:val="22"/>
          <w:szCs w:val="22"/>
        </w:rPr>
        <w:t>v rámci celého kalendářního roku.</w:t>
      </w:r>
      <w:r w:rsidR="005017AF" w:rsidRPr="00F15C89">
        <w:rPr>
          <w:rFonts w:ascii="Arial" w:hAnsi="Arial" w:cs="Arial"/>
          <w:color w:val="000000"/>
          <w:sz w:val="22"/>
          <w:szCs w:val="22"/>
        </w:rPr>
        <w:t xml:space="preserve"> </w:t>
      </w:r>
      <w:r w:rsidR="00F13BB9" w:rsidRPr="00F15C89">
        <w:rPr>
          <w:rFonts w:ascii="Arial" w:hAnsi="Arial" w:cs="Arial"/>
          <w:color w:val="000000"/>
          <w:sz w:val="22"/>
          <w:szCs w:val="22"/>
        </w:rPr>
        <w:t xml:space="preserve">Zařazování vyšších podílů místní produkce mohou napomoci např. mapy producentů biopotravin a ekologických zemědělců. </w:t>
      </w:r>
      <w:r w:rsidR="00F13BB9" w:rsidRPr="00F15C89">
        <w:rPr>
          <w:rFonts w:ascii="Arial" w:hAnsi="Arial" w:cs="Arial"/>
          <w:sz w:val="22"/>
          <w:szCs w:val="22"/>
        </w:rPr>
        <w:t xml:space="preserve">Orientačně lze pro nalezení biopotravin využít </w:t>
      </w:r>
      <w:r w:rsidR="00E92166" w:rsidRPr="00F15C89">
        <w:rPr>
          <w:rFonts w:ascii="Arial" w:hAnsi="Arial" w:cs="Arial"/>
          <w:sz w:val="22"/>
          <w:szCs w:val="22"/>
        </w:rPr>
        <w:t>např. M</w:t>
      </w:r>
      <w:r w:rsidR="00F13BB9" w:rsidRPr="00F15C89">
        <w:rPr>
          <w:rFonts w:ascii="Arial" w:hAnsi="Arial" w:cs="Arial"/>
          <w:sz w:val="22"/>
          <w:szCs w:val="22"/>
        </w:rPr>
        <w:t>apu</w:t>
      </w:r>
      <w:r w:rsidR="00E92166" w:rsidRPr="00F15C89">
        <w:rPr>
          <w:rFonts w:ascii="Arial" w:hAnsi="Arial" w:cs="Arial"/>
          <w:sz w:val="22"/>
          <w:szCs w:val="22"/>
        </w:rPr>
        <w:t xml:space="preserve"> českých </w:t>
      </w:r>
      <w:r w:rsidR="00C0611A" w:rsidRPr="00F15C89">
        <w:rPr>
          <w:rFonts w:ascii="Arial" w:hAnsi="Arial" w:cs="Arial"/>
          <w:sz w:val="22"/>
          <w:szCs w:val="22"/>
        </w:rPr>
        <w:t>bio</w:t>
      </w:r>
      <w:r w:rsidR="00E92166" w:rsidRPr="00F15C89">
        <w:rPr>
          <w:rFonts w:ascii="Arial" w:hAnsi="Arial" w:cs="Arial"/>
          <w:sz w:val="22"/>
          <w:szCs w:val="22"/>
        </w:rPr>
        <w:t>potravin</w:t>
      </w:r>
      <w:r w:rsidR="00E92166" w:rsidRPr="00F15C89">
        <w:rPr>
          <w:rStyle w:val="Znakapoznpodarou"/>
          <w:rFonts w:ascii="Arial" w:hAnsi="Arial" w:cs="Arial"/>
          <w:sz w:val="22"/>
          <w:szCs w:val="22"/>
          <w:vertAlign w:val="superscript"/>
        </w:rPr>
        <w:footnoteReference w:id="9"/>
      </w:r>
      <w:r w:rsidR="00F13BB9" w:rsidRPr="00F15C89">
        <w:rPr>
          <w:rFonts w:ascii="Arial" w:hAnsi="Arial" w:cs="Arial"/>
          <w:sz w:val="22"/>
          <w:szCs w:val="22"/>
        </w:rPr>
        <w:t xml:space="preserve"> </w:t>
      </w:r>
      <w:r w:rsidR="00477383" w:rsidRPr="00F15C89">
        <w:rPr>
          <w:rFonts w:ascii="Arial" w:hAnsi="Arial" w:cs="Arial"/>
          <w:sz w:val="22"/>
          <w:szCs w:val="22"/>
        </w:rPr>
        <w:t>a</w:t>
      </w:r>
      <w:r w:rsidR="00477383">
        <w:rPr>
          <w:rFonts w:ascii="Arial" w:hAnsi="Arial" w:cs="Arial"/>
          <w:sz w:val="22"/>
          <w:szCs w:val="22"/>
        </w:rPr>
        <w:t> </w:t>
      </w:r>
      <w:r w:rsidR="00E92166" w:rsidRPr="00F15C89">
        <w:rPr>
          <w:rFonts w:ascii="Arial" w:hAnsi="Arial" w:cs="Arial"/>
          <w:sz w:val="22"/>
          <w:szCs w:val="22"/>
        </w:rPr>
        <w:t>p</w:t>
      </w:r>
      <w:r w:rsidR="00F13BB9" w:rsidRPr="00F15C89">
        <w:rPr>
          <w:rFonts w:ascii="Arial" w:hAnsi="Arial" w:cs="Arial"/>
          <w:sz w:val="22"/>
          <w:szCs w:val="22"/>
        </w:rPr>
        <w:t>ro podrobné informace Registr ekologických podnikatelů</w:t>
      </w:r>
      <w:r w:rsidR="00EB7529" w:rsidRPr="00F15C89">
        <w:rPr>
          <w:rStyle w:val="Znakapoznpodarou"/>
          <w:rFonts w:ascii="Arial" w:hAnsi="Arial" w:cs="Arial"/>
          <w:sz w:val="22"/>
          <w:szCs w:val="22"/>
          <w:vertAlign w:val="superscript"/>
        </w:rPr>
        <w:footnoteReference w:id="10"/>
      </w:r>
      <w:r w:rsidR="00F13BB9" w:rsidRPr="00F15C89">
        <w:rPr>
          <w:rFonts w:ascii="Arial" w:hAnsi="Arial" w:cs="Arial"/>
          <w:sz w:val="22"/>
          <w:szCs w:val="22"/>
        </w:rPr>
        <w:t>.</w:t>
      </w:r>
    </w:p>
    <w:p w14:paraId="3FADC05F" w14:textId="77777777" w:rsidR="00F13BB9" w:rsidRPr="00F15C89" w:rsidRDefault="00F13BB9" w:rsidP="00F35517">
      <w:pPr>
        <w:pStyle w:val="Odstavecseseznamem"/>
        <w:numPr>
          <w:ilvl w:val="0"/>
          <w:numId w:val="36"/>
        </w:numPr>
        <w:spacing w:after="0" w:line="240" w:lineRule="auto"/>
        <w:ind w:left="284" w:hanging="284"/>
        <w:jc w:val="both"/>
        <w:rPr>
          <w:rFonts w:ascii="Arial" w:hAnsi="Arial" w:cs="Arial"/>
        </w:rPr>
      </w:pPr>
      <w:r w:rsidRPr="00F15C89">
        <w:rPr>
          <w:rFonts w:ascii="Arial" w:hAnsi="Arial" w:cs="Arial"/>
        </w:rPr>
        <w:t>Podíl sezónní produkce ovoce, zeleniny a brambor</w:t>
      </w:r>
    </w:p>
    <w:p w14:paraId="3CF41EA9" w14:textId="77777777" w:rsidR="005D1F39" w:rsidRPr="00F15C89" w:rsidRDefault="005D1F39" w:rsidP="00657334">
      <w:pPr>
        <w:spacing w:after="0" w:line="240" w:lineRule="auto"/>
        <w:ind w:firstLine="284"/>
        <w:jc w:val="both"/>
        <w:rPr>
          <w:rFonts w:ascii="Arial" w:hAnsi="Arial" w:cs="Arial"/>
        </w:rPr>
      </w:pPr>
    </w:p>
    <w:p w14:paraId="18A99DDA" w14:textId="16293B09" w:rsidR="00BB1C31" w:rsidRPr="00F15C89" w:rsidRDefault="00F13BB9" w:rsidP="008138CC">
      <w:pPr>
        <w:spacing w:after="0" w:line="240" w:lineRule="auto"/>
        <w:ind w:firstLine="426"/>
        <w:jc w:val="both"/>
        <w:rPr>
          <w:rFonts w:ascii="Arial" w:hAnsi="Arial" w:cs="Arial"/>
        </w:rPr>
      </w:pPr>
      <w:r w:rsidRPr="00F15C89">
        <w:rPr>
          <w:rFonts w:ascii="Arial" w:hAnsi="Arial" w:cs="Arial"/>
        </w:rPr>
        <w:t xml:space="preserve">Sezónní produkce je sklízena v optimální době, není tedy potřeba dlouhého skladování, </w:t>
      </w:r>
      <w:r w:rsidR="00477383" w:rsidRPr="00F15C89">
        <w:rPr>
          <w:rFonts w:ascii="Arial" w:hAnsi="Arial" w:cs="Arial"/>
        </w:rPr>
        <w:t>a</w:t>
      </w:r>
      <w:r w:rsidR="00477383">
        <w:rPr>
          <w:rFonts w:ascii="Arial" w:hAnsi="Arial" w:cs="Arial"/>
        </w:rPr>
        <w:t> </w:t>
      </w:r>
      <w:r w:rsidRPr="00F15C89">
        <w:rPr>
          <w:rFonts w:ascii="Arial" w:hAnsi="Arial" w:cs="Arial"/>
        </w:rPr>
        <w:t>je zaručena jej</w:t>
      </w:r>
      <w:r w:rsidR="000423F4" w:rsidRPr="00F15C89">
        <w:rPr>
          <w:rFonts w:ascii="Arial" w:hAnsi="Arial" w:cs="Arial"/>
        </w:rPr>
        <w:t>í</w:t>
      </w:r>
      <w:r w:rsidRPr="00F15C89">
        <w:rPr>
          <w:rFonts w:ascii="Arial" w:hAnsi="Arial" w:cs="Arial"/>
        </w:rPr>
        <w:t xml:space="preserve"> vyšší čerstvost. </w:t>
      </w:r>
      <w:r w:rsidR="00422105" w:rsidRPr="00F15C89">
        <w:rPr>
          <w:rFonts w:ascii="Arial" w:hAnsi="Arial" w:cs="Arial"/>
        </w:rPr>
        <w:t xml:space="preserve">V Kritériích pro </w:t>
      </w:r>
      <w:r w:rsidR="00E5681F" w:rsidRPr="00F15C89">
        <w:rPr>
          <w:rFonts w:ascii="Arial" w:hAnsi="Arial" w:cs="Arial"/>
        </w:rPr>
        <w:t xml:space="preserve">zadávání </w:t>
      </w:r>
      <w:r w:rsidR="00422105" w:rsidRPr="00F15C89">
        <w:rPr>
          <w:rFonts w:ascii="Arial" w:hAnsi="Arial" w:cs="Arial"/>
        </w:rPr>
        <w:t>zelen</w:t>
      </w:r>
      <w:r w:rsidR="00E5681F" w:rsidRPr="00F15C89">
        <w:rPr>
          <w:rFonts w:ascii="Arial" w:hAnsi="Arial" w:cs="Arial"/>
        </w:rPr>
        <w:t>ých</w:t>
      </w:r>
      <w:r w:rsidR="00422105" w:rsidRPr="00F15C89">
        <w:rPr>
          <w:rFonts w:ascii="Arial" w:hAnsi="Arial" w:cs="Arial"/>
        </w:rPr>
        <w:t xml:space="preserve"> zakáz</w:t>
      </w:r>
      <w:r w:rsidR="00E5681F" w:rsidRPr="00F15C89">
        <w:rPr>
          <w:rFonts w:ascii="Arial" w:hAnsi="Arial" w:cs="Arial"/>
        </w:rPr>
        <w:t>e</w:t>
      </w:r>
      <w:r w:rsidR="00422105" w:rsidRPr="00F15C89">
        <w:rPr>
          <w:rFonts w:ascii="Arial" w:hAnsi="Arial" w:cs="Arial"/>
        </w:rPr>
        <w:t>k</w:t>
      </w:r>
      <w:r w:rsidR="004215C1" w:rsidRPr="00F15C89">
        <w:rPr>
          <w:rFonts w:ascii="Arial" w:hAnsi="Arial" w:cs="Arial"/>
        </w:rPr>
        <w:t xml:space="preserve"> v EU </w:t>
      </w:r>
      <w:r w:rsidR="00477383" w:rsidRPr="00F15C89">
        <w:rPr>
          <w:rFonts w:ascii="Arial" w:hAnsi="Arial" w:cs="Arial"/>
        </w:rPr>
        <w:t>pro</w:t>
      </w:r>
      <w:r w:rsidR="00477383">
        <w:rPr>
          <w:rFonts w:ascii="Arial" w:hAnsi="Arial" w:cs="Arial"/>
        </w:rPr>
        <w:t> </w:t>
      </w:r>
      <w:r w:rsidR="004215C1" w:rsidRPr="00F15C89">
        <w:rPr>
          <w:rFonts w:ascii="Arial" w:hAnsi="Arial" w:cs="Arial"/>
        </w:rPr>
        <w:t>stravování, stravovací služby a prodejní automaty</w:t>
      </w:r>
      <w:r w:rsidR="00422105" w:rsidRPr="00F15C89">
        <w:rPr>
          <w:rFonts w:ascii="Arial" w:hAnsi="Arial" w:cs="Arial"/>
        </w:rPr>
        <w:t xml:space="preserve"> Evropské komise</w:t>
      </w:r>
      <w:r w:rsidR="00C64391" w:rsidRPr="00F15C89">
        <w:rPr>
          <w:rStyle w:val="Znakapoznpodarou"/>
          <w:rFonts w:ascii="Arial" w:hAnsi="Arial" w:cs="Arial"/>
          <w:vertAlign w:val="superscript"/>
        </w:rPr>
        <w:footnoteReference w:id="11"/>
      </w:r>
      <w:r w:rsidR="00422105" w:rsidRPr="00F15C89">
        <w:rPr>
          <w:rFonts w:ascii="Arial" w:hAnsi="Arial" w:cs="Arial"/>
          <w:vertAlign w:val="superscript"/>
        </w:rPr>
        <w:t xml:space="preserve"> </w:t>
      </w:r>
      <w:r w:rsidR="00AC70A1" w:rsidRPr="00F15C89">
        <w:rPr>
          <w:rFonts w:ascii="Arial" w:hAnsi="Arial" w:cs="Arial"/>
        </w:rPr>
        <w:t>je k tomu uvedeno: „</w:t>
      </w:r>
      <w:r w:rsidR="00422105" w:rsidRPr="00F15C89">
        <w:rPr>
          <w:rFonts w:ascii="Arial" w:hAnsi="Arial" w:cs="Arial"/>
        </w:rPr>
        <w:t xml:space="preserve">Sezónní produkce má na životní prostředí, zdraví, hospodářství a společnost různé dopady </w:t>
      </w:r>
      <w:r w:rsidR="00477383" w:rsidRPr="00F15C89">
        <w:rPr>
          <w:rFonts w:ascii="Arial" w:hAnsi="Arial" w:cs="Arial"/>
        </w:rPr>
        <w:t>v</w:t>
      </w:r>
      <w:r w:rsidR="00477383">
        <w:rPr>
          <w:rFonts w:ascii="Arial" w:hAnsi="Arial" w:cs="Arial"/>
        </w:rPr>
        <w:t> </w:t>
      </w:r>
      <w:r w:rsidR="00422105" w:rsidRPr="00F15C89">
        <w:rPr>
          <w:rFonts w:ascii="Arial" w:hAnsi="Arial" w:cs="Arial"/>
        </w:rPr>
        <w:t xml:space="preserve">závislosti na regionech, odkud výrobky pocházejí a kde jsou spotřebovány. Sezónní produkce </w:t>
      </w:r>
      <w:r w:rsidR="003D485E" w:rsidRPr="006109DC">
        <w:rPr>
          <w:rFonts w:ascii="Arial" w:hAnsi="Arial" w:cs="Arial"/>
        </w:rPr>
        <w:t>[</w:t>
      </w:r>
      <w:r w:rsidR="00AC70A1" w:rsidRPr="00F15C89">
        <w:rPr>
          <w:rFonts w:ascii="Arial" w:hAnsi="Arial" w:cs="Arial"/>
        </w:rPr>
        <w:t>...</w:t>
      </w:r>
      <w:r w:rsidR="003D485E" w:rsidRPr="00F15C89">
        <w:rPr>
          <w:rFonts w:ascii="Arial" w:hAnsi="Arial" w:cs="Arial"/>
        </w:rPr>
        <w:t>]</w:t>
      </w:r>
      <w:r w:rsidR="00422105" w:rsidRPr="00F15C89">
        <w:rPr>
          <w:rFonts w:ascii="Arial" w:hAnsi="Arial" w:cs="Arial"/>
        </w:rPr>
        <w:t xml:space="preserve"> přepravovaná na kratší vzdálenosti může mít menší dopady na životní prostředí </w:t>
      </w:r>
      <w:r w:rsidR="003D485E" w:rsidRPr="00F15C89">
        <w:rPr>
          <w:rFonts w:ascii="Arial" w:hAnsi="Arial" w:cs="Arial"/>
        </w:rPr>
        <w:t>[</w:t>
      </w:r>
      <w:r w:rsidR="007442B2" w:rsidRPr="00F15C89">
        <w:rPr>
          <w:rFonts w:ascii="Arial" w:hAnsi="Arial" w:cs="Arial"/>
        </w:rPr>
        <w:t>...</w:t>
      </w:r>
      <w:r w:rsidR="003D485E" w:rsidRPr="00F15C89">
        <w:rPr>
          <w:rFonts w:ascii="Arial" w:hAnsi="Arial" w:cs="Arial"/>
        </w:rPr>
        <w:t>]</w:t>
      </w:r>
      <w:r w:rsidR="00422105" w:rsidRPr="00F15C89">
        <w:rPr>
          <w:rFonts w:ascii="Arial" w:hAnsi="Arial" w:cs="Arial"/>
        </w:rPr>
        <w:t xml:space="preserve"> přepravované na dlouhé vzdálenosti. Sezónní zelenina se může vyznačovat lepší chutí kvalitou a cenou, které mohou podporovat posun k větší nabídce vegetariánských možností stravy nebo možností stravy na rostlinné bázi.</w:t>
      </w:r>
      <w:r w:rsidR="003D485E" w:rsidRPr="00F15C89">
        <w:rPr>
          <w:rFonts w:ascii="Arial" w:hAnsi="Arial" w:cs="Arial"/>
        </w:rPr>
        <w:t>“</w:t>
      </w:r>
      <w:r w:rsidR="00BB1C31" w:rsidRPr="00F15C89">
        <w:rPr>
          <w:rFonts w:ascii="Arial" w:hAnsi="Arial" w:cs="Arial"/>
        </w:rPr>
        <w:t xml:space="preserve"> </w:t>
      </w:r>
    </w:p>
    <w:p w14:paraId="6708C44C" w14:textId="77777777" w:rsidR="00923E73" w:rsidRPr="00F15C89" w:rsidRDefault="00923E73" w:rsidP="00657334">
      <w:pPr>
        <w:spacing w:after="0" w:line="240" w:lineRule="auto"/>
        <w:ind w:firstLine="284"/>
        <w:jc w:val="both"/>
        <w:rPr>
          <w:rFonts w:ascii="Arial" w:hAnsi="Arial" w:cs="Arial"/>
        </w:rPr>
      </w:pPr>
    </w:p>
    <w:p w14:paraId="7F558CE2" w14:textId="76182E00" w:rsidR="00F13BB9" w:rsidRPr="00F15C89" w:rsidRDefault="00F13BB9" w:rsidP="008138CC">
      <w:pPr>
        <w:spacing w:after="0" w:line="240" w:lineRule="auto"/>
        <w:ind w:firstLine="426"/>
        <w:jc w:val="both"/>
        <w:rPr>
          <w:rFonts w:ascii="Arial" w:hAnsi="Arial" w:cs="Arial"/>
        </w:rPr>
      </w:pPr>
      <w:r w:rsidRPr="00F15C89">
        <w:rPr>
          <w:rFonts w:ascii="Arial" w:hAnsi="Arial" w:cs="Arial"/>
        </w:rPr>
        <w:t>Nakupování sezónních produktů může být cestou k</w:t>
      </w:r>
      <w:r w:rsidR="001B03BA" w:rsidRPr="00F15C89">
        <w:rPr>
          <w:rFonts w:ascii="Arial" w:hAnsi="Arial" w:cs="Arial"/>
        </w:rPr>
        <w:t> </w:t>
      </w:r>
      <w:r w:rsidRPr="00F15C89">
        <w:rPr>
          <w:rFonts w:ascii="Arial" w:hAnsi="Arial" w:cs="Arial"/>
        </w:rPr>
        <w:t xml:space="preserve">podpoře </w:t>
      </w:r>
      <w:r w:rsidR="00B66EF8" w:rsidRPr="00F15C89">
        <w:rPr>
          <w:rFonts w:ascii="Arial" w:hAnsi="Arial" w:cs="Arial"/>
        </w:rPr>
        <w:t>malých farmářů</w:t>
      </w:r>
      <w:r w:rsidR="00BB1C31" w:rsidRPr="00F15C89">
        <w:rPr>
          <w:rFonts w:ascii="Arial" w:hAnsi="Arial" w:cs="Arial"/>
        </w:rPr>
        <w:t>, sociálních podniků</w:t>
      </w:r>
      <w:r w:rsidR="00B66EF8" w:rsidRPr="00F15C89">
        <w:rPr>
          <w:rFonts w:ascii="Arial" w:hAnsi="Arial" w:cs="Arial"/>
        </w:rPr>
        <w:t xml:space="preserve"> a </w:t>
      </w:r>
      <w:r w:rsidRPr="00F15C89">
        <w:rPr>
          <w:rFonts w:ascii="Arial" w:hAnsi="Arial" w:cs="Arial"/>
        </w:rPr>
        <w:t>zkracování dodavatelských řetězců, což má za následek i snižování uhlíkové stopy spojené s transportem. Navíc, sezónní přístup k</w:t>
      </w:r>
      <w:r w:rsidR="005A2081" w:rsidRPr="00F15C89">
        <w:rPr>
          <w:rFonts w:ascii="Arial" w:hAnsi="Arial" w:cs="Arial"/>
        </w:rPr>
        <w:t> </w:t>
      </w:r>
      <w:r w:rsidRPr="00F15C89">
        <w:rPr>
          <w:rFonts w:ascii="Arial" w:hAnsi="Arial" w:cs="Arial"/>
        </w:rPr>
        <w:t>potravinám může přispět k rozmanitosti stravy a podporovat zdravější stravovací návyky.</w:t>
      </w:r>
    </w:p>
    <w:p w14:paraId="100AA3FA" w14:textId="77777777" w:rsidR="00F13BB9" w:rsidRPr="00F15C89" w:rsidRDefault="00F13BB9" w:rsidP="00F35517">
      <w:pPr>
        <w:spacing w:after="0" w:line="240" w:lineRule="auto"/>
        <w:jc w:val="both"/>
        <w:rPr>
          <w:rFonts w:ascii="Arial" w:hAnsi="Arial" w:cs="Arial"/>
        </w:rPr>
      </w:pPr>
    </w:p>
    <w:p w14:paraId="03417AA0" w14:textId="4D9535C3" w:rsidR="00F13BB9" w:rsidRPr="00F15C89" w:rsidRDefault="00F13BB9" w:rsidP="008138CC">
      <w:pPr>
        <w:spacing w:after="0" w:line="240" w:lineRule="auto"/>
        <w:ind w:firstLine="426"/>
        <w:jc w:val="both"/>
        <w:rPr>
          <w:rFonts w:ascii="Arial" w:hAnsi="Arial" w:cs="Arial"/>
        </w:rPr>
      </w:pPr>
      <w:r w:rsidRPr="00F15C89">
        <w:rPr>
          <w:rFonts w:ascii="Arial" w:hAnsi="Arial" w:cs="Arial"/>
        </w:rPr>
        <w:t>Pro srovnání</w:t>
      </w:r>
      <w:r w:rsidR="00D86191" w:rsidRPr="00F15C89">
        <w:rPr>
          <w:rFonts w:ascii="Arial" w:hAnsi="Arial" w:cs="Arial"/>
        </w:rPr>
        <w:t xml:space="preserve"> s předloženými Minimálními standardy OVZ</w:t>
      </w:r>
      <w:r w:rsidRPr="00F15C89">
        <w:rPr>
          <w:rFonts w:ascii="Arial" w:hAnsi="Arial" w:cs="Arial"/>
        </w:rPr>
        <w:t xml:space="preserve">, město Ottignies-Louvain-la-Neuve v Belgii pořizuje potraviny podle Wallonského sezónního kalendáře v závislosti </w:t>
      </w:r>
      <w:r w:rsidR="0015693B">
        <w:rPr>
          <w:rFonts w:ascii="Arial" w:hAnsi="Arial" w:cs="Arial"/>
        </w:rPr>
        <w:br/>
      </w:r>
      <w:r w:rsidRPr="00F15C89">
        <w:rPr>
          <w:rFonts w:ascii="Arial" w:hAnsi="Arial" w:cs="Arial"/>
        </w:rPr>
        <w:t>na možnostech trhu a dostupnosti sezónní produkce:</w:t>
      </w:r>
    </w:p>
    <w:p w14:paraId="020A0693" w14:textId="31CFF18D" w:rsidR="00EA140A" w:rsidRPr="00F15C89" w:rsidRDefault="00EA140A" w:rsidP="00F35517">
      <w:pPr>
        <w:numPr>
          <w:ilvl w:val="1"/>
          <w:numId w:val="35"/>
        </w:numPr>
        <w:tabs>
          <w:tab w:val="left" w:pos="720"/>
        </w:tabs>
        <w:spacing w:after="0" w:line="240" w:lineRule="auto"/>
        <w:jc w:val="both"/>
        <w:rPr>
          <w:rFonts w:ascii="Arial" w:hAnsi="Arial" w:cs="Arial"/>
        </w:rPr>
      </w:pPr>
      <w:r w:rsidRPr="00F15C89">
        <w:rPr>
          <w:rFonts w:ascii="Arial" w:hAnsi="Arial" w:cs="Arial"/>
        </w:rPr>
        <w:t>září – listopad</w:t>
      </w:r>
      <w:r w:rsidRPr="00F15C89">
        <w:rPr>
          <w:rFonts w:ascii="Arial" w:hAnsi="Arial" w:cs="Arial"/>
        </w:rPr>
        <w:tab/>
        <w:t>80 %</w:t>
      </w:r>
    </w:p>
    <w:p w14:paraId="55AADC97" w14:textId="11726B25" w:rsidR="00EA140A" w:rsidRPr="00F15C89" w:rsidRDefault="00EA140A" w:rsidP="00F35517">
      <w:pPr>
        <w:numPr>
          <w:ilvl w:val="1"/>
          <w:numId w:val="35"/>
        </w:numPr>
        <w:tabs>
          <w:tab w:val="left" w:pos="720"/>
        </w:tabs>
        <w:spacing w:after="0" w:line="240" w:lineRule="auto"/>
        <w:jc w:val="both"/>
        <w:rPr>
          <w:rFonts w:ascii="Arial" w:hAnsi="Arial" w:cs="Arial"/>
        </w:rPr>
      </w:pPr>
      <w:r w:rsidRPr="00F15C89">
        <w:rPr>
          <w:rFonts w:ascii="Arial" w:hAnsi="Arial" w:cs="Arial"/>
        </w:rPr>
        <w:t>prosinec</w:t>
      </w:r>
      <w:r w:rsidRPr="00F15C89">
        <w:rPr>
          <w:rFonts w:ascii="Arial" w:hAnsi="Arial" w:cs="Arial"/>
        </w:rPr>
        <w:tab/>
        <w:t>75 %</w:t>
      </w:r>
    </w:p>
    <w:p w14:paraId="16DD7D9F" w14:textId="6D851CE7" w:rsidR="00EA140A" w:rsidRPr="00F15C89" w:rsidRDefault="00EA140A" w:rsidP="00F35517">
      <w:pPr>
        <w:numPr>
          <w:ilvl w:val="1"/>
          <w:numId w:val="35"/>
        </w:numPr>
        <w:tabs>
          <w:tab w:val="left" w:pos="720"/>
        </w:tabs>
        <w:spacing w:after="0" w:line="240" w:lineRule="auto"/>
        <w:jc w:val="both"/>
        <w:rPr>
          <w:rFonts w:ascii="Arial" w:hAnsi="Arial" w:cs="Arial"/>
        </w:rPr>
      </w:pPr>
      <w:r w:rsidRPr="00F15C89">
        <w:rPr>
          <w:rFonts w:ascii="Arial" w:hAnsi="Arial" w:cs="Arial"/>
        </w:rPr>
        <w:t>leden</w:t>
      </w:r>
      <w:r w:rsidRPr="00F15C89">
        <w:rPr>
          <w:rFonts w:ascii="Arial" w:hAnsi="Arial" w:cs="Arial"/>
        </w:rPr>
        <w:tab/>
      </w:r>
      <w:r w:rsidRPr="00F15C89">
        <w:rPr>
          <w:rFonts w:ascii="Arial" w:hAnsi="Arial" w:cs="Arial"/>
        </w:rPr>
        <w:tab/>
        <w:t>50 %</w:t>
      </w:r>
    </w:p>
    <w:p w14:paraId="4A28F6C2" w14:textId="77777777" w:rsidR="00EA140A" w:rsidRPr="00F15C89" w:rsidRDefault="00EA140A" w:rsidP="00F35517">
      <w:pPr>
        <w:numPr>
          <w:ilvl w:val="1"/>
          <w:numId w:val="35"/>
        </w:numPr>
        <w:tabs>
          <w:tab w:val="left" w:pos="720"/>
        </w:tabs>
        <w:spacing w:after="0" w:line="240" w:lineRule="auto"/>
        <w:jc w:val="both"/>
        <w:rPr>
          <w:rFonts w:ascii="Arial" w:hAnsi="Arial" w:cs="Arial"/>
        </w:rPr>
      </w:pPr>
      <w:r w:rsidRPr="00F15C89">
        <w:rPr>
          <w:rFonts w:ascii="Arial" w:hAnsi="Arial" w:cs="Arial"/>
        </w:rPr>
        <w:t>únor – březen</w:t>
      </w:r>
      <w:r w:rsidRPr="00F15C89">
        <w:rPr>
          <w:rFonts w:ascii="Arial" w:hAnsi="Arial" w:cs="Arial"/>
        </w:rPr>
        <w:tab/>
        <w:t>25 %</w:t>
      </w:r>
    </w:p>
    <w:p w14:paraId="208F3A95" w14:textId="26B2C3CA" w:rsidR="00EA140A" w:rsidRPr="00F15C89" w:rsidRDefault="00EA140A" w:rsidP="00F35517">
      <w:pPr>
        <w:numPr>
          <w:ilvl w:val="1"/>
          <w:numId w:val="35"/>
        </w:numPr>
        <w:tabs>
          <w:tab w:val="left" w:pos="720"/>
        </w:tabs>
        <w:spacing w:after="0" w:line="240" w:lineRule="auto"/>
        <w:jc w:val="both"/>
        <w:rPr>
          <w:rFonts w:ascii="Arial" w:hAnsi="Arial" w:cs="Arial"/>
        </w:rPr>
      </w:pPr>
      <w:r w:rsidRPr="00F15C89">
        <w:rPr>
          <w:rFonts w:ascii="Arial" w:hAnsi="Arial" w:cs="Arial"/>
        </w:rPr>
        <w:t>duben</w:t>
      </w:r>
      <w:r w:rsidRPr="00F15C89">
        <w:rPr>
          <w:rFonts w:ascii="Arial" w:hAnsi="Arial" w:cs="Arial"/>
        </w:rPr>
        <w:tab/>
      </w:r>
      <w:r w:rsidRPr="00F15C89">
        <w:rPr>
          <w:rFonts w:ascii="Arial" w:hAnsi="Arial" w:cs="Arial"/>
        </w:rPr>
        <w:tab/>
        <w:t>15 %</w:t>
      </w:r>
    </w:p>
    <w:p w14:paraId="31C73242" w14:textId="77777777" w:rsidR="00EA140A" w:rsidRPr="00F15C89" w:rsidRDefault="00EA140A" w:rsidP="00F35517">
      <w:pPr>
        <w:numPr>
          <w:ilvl w:val="1"/>
          <w:numId w:val="35"/>
        </w:numPr>
        <w:tabs>
          <w:tab w:val="left" w:pos="720"/>
        </w:tabs>
        <w:spacing w:after="0" w:line="240" w:lineRule="auto"/>
        <w:jc w:val="both"/>
        <w:rPr>
          <w:rFonts w:ascii="Arial" w:hAnsi="Arial" w:cs="Arial"/>
        </w:rPr>
      </w:pPr>
      <w:r w:rsidRPr="00F15C89">
        <w:rPr>
          <w:rFonts w:ascii="Arial" w:hAnsi="Arial" w:cs="Arial"/>
        </w:rPr>
        <w:t>květen</w:t>
      </w:r>
      <w:r w:rsidRPr="00F15C89">
        <w:rPr>
          <w:rFonts w:ascii="Arial" w:hAnsi="Arial" w:cs="Arial"/>
        </w:rPr>
        <w:tab/>
      </w:r>
      <w:r w:rsidRPr="00F15C89">
        <w:rPr>
          <w:rFonts w:ascii="Arial" w:hAnsi="Arial" w:cs="Arial"/>
        </w:rPr>
        <w:tab/>
        <w:t>25 %</w:t>
      </w:r>
    </w:p>
    <w:p w14:paraId="41DFD66F" w14:textId="77777777" w:rsidR="00EA140A" w:rsidRPr="00F15C89" w:rsidRDefault="00EA140A" w:rsidP="00F35517">
      <w:pPr>
        <w:numPr>
          <w:ilvl w:val="1"/>
          <w:numId w:val="35"/>
        </w:numPr>
        <w:tabs>
          <w:tab w:val="left" w:pos="720"/>
        </w:tabs>
        <w:spacing w:after="0" w:line="240" w:lineRule="auto"/>
        <w:jc w:val="both"/>
        <w:rPr>
          <w:rFonts w:ascii="Arial" w:hAnsi="Arial" w:cs="Arial"/>
        </w:rPr>
      </w:pPr>
      <w:r w:rsidRPr="00F15C89">
        <w:rPr>
          <w:rFonts w:ascii="Arial" w:hAnsi="Arial" w:cs="Arial"/>
        </w:rPr>
        <w:t>červen</w:t>
      </w:r>
      <w:r w:rsidRPr="00F15C89">
        <w:rPr>
          <w:rFonts w:ascii="Arial" w:hAnsi="Arial" w:cs="Arial"/>
        </w:rPr>
        <w:tab/>
      </w:r>
      <w:r w:rsidRPr="00F15C89">
        <w:rPr>
          <w:rFonts w:ascii="Arial" w:hAnsi="Arial" w:cs="Arial"/>
        </w:rPr>
        <w:tab/>
        <w:t>40 %</w:t>
      </w:r>
    </w:p>
    <w:p w14:paraId="43322C9A" w14:textId="77777777" w:rsidR="00F13BB9" w:rsidRPr="00F15C89" w:rsidRDefault="00F13BB9" w:rsidP="00F35517">
      <w:pPr>
        <w:spacing w:after="0" w:line="240" w:lineRule="auto"/>
        <w:jc w:val="both"/>
        <w:rPr>
          <w:rFonts w:ascii="Arial" w:hAnsi="Arial" w:cs="Arial"/>
        </w:rPr>
      </w:pPr>
    </w:p>
    <w:p w14:paraId="76E5E656" w14:textId="37C32821" w:rsidR="00F13BB9" w:rsidRPr="00F15C89" w:rsidRDefault="00F13BB9" w:rsidP="002B6478">
      <w:pPr>
        <w:spacing w:after="0" w:line="240" w:lineRule="auto"/>
        <w:ind w:firstLine="426"/>
        <w:jc w:val="both"/>
        <w:rPr>
          <w:rFonts w:ascii="Arial" w:hAnsi="Arial" w:cs="Arial"/>
        </w:rPr>
      </w:pPr>
      <w:r w:rsidRPr="00F15C89">
        <w:rPr>
          <w:rFonts w:ascii="Arial" w:hAnsi="Arial" w:cs="Arial"/>
        </w:rPr>
        <w:t>Ministerstvo zemědělství ve spolupráci se zástupci Ovocnářské unie ČR a</w:t>
      </w:r>
      <w:r w:rsidR="005A2081" w:rsidRPr="00F15C89">
        <w:rPr>
          <w:rFonts w:ascii="Arial" w:hAnsi="Arial" w:cs="Arial"/>
        </w:rPr>
        <w:t> </w:t>
      </w:r>
      <w:r w:rsidRPr="00F15C89">
        <w:rPr>
          <w:rFonts w:ascii="Arial" w:hAnsi="Arial" w:cs="Arial"/>
        </w:rPr>
        <w:t>Zelinářské unie Čech a Moravy vypracovalo</w:t>
      </w:r>
      <w:r w:rsidR="00EB7529" w:rsidRPr="00F15C89">
        <w:rPr>
          <w:rFonts w:ascii="Arial" w:hAnsi="Arial" w:cs="Arial"/>
        </w:rPr>
        <w:t xml:space="preserve"> Sezónní kalendář ovoce, zeleniny a</w:t>
      </w:r>
      <w:r w:rsidR="00D43249" w:rsidRPr="00F15C89">
        <w:rPr>
          <w:rFonts w:ascii="Arial" w:hAnsi="Arial" w:cs="Arial"/>
        </w:rPr>
        <w:t> </w:t>
      </w:r>
      <w:r w:rsidR="00EB7529" w:rsidRPr="00F15C89">
        <w:rPr>
          <w:rFonts w:ascii="Arial" w:hAnsi="Arial" w:cs="Arial"/>
        </w:rPr>
        <w:t>brambo</w:t>
      </w:r>
      <w:r w:rsidR="000B14B4" w:rsidRPr="00F15C89">
        <w:rPr>
          <w:rFonts w:ascii="Arial" w:hAnsi="Arial" w:cs="Arial"/>
        </w:rPr>
        <w:t>r</w:t>
      </w:r>
      <w:r w:rsidR="000B14B4" w:rsidRPr="00F15C89">
        <w:rPr>
          <w:rStyle w:val="Znakapoznpodarou"/>
          <w:rFonts w:ascii="Arial" w:hAnsi="Arial" w:cs="Arial"/>
          <w:vertAlign w:val="superscript"/>
        </w:rPr>
        <w:footnoteReference w:id="12"/>
      </w:r>
      <w:r w:rsidRPr="00F15C89">
        <w:rPr>
          <w:rFonts w:ascii="Arial" w:hAnsi="Arial" w:cs="Arial"/>
        </w:rPr>
        <w:t xml:space="preserve">: přehled o sklizních a skladovatelnosti vybraných ovocných a zeleninových druhů a brambor a rovněž přehled </w:t>
      </w:r>
      <w:r w:rsidR="00477383" w:rsidRPr="00F15C89">
        <w:rPr>
          <w:rFonts w:ascii="Arial" w:hAnsi="Arial" w:cs="Arial"/>
        </w:rPr>
        <w:t>o</w:t>
      </w:r>
      <w:r w:rsidR="00477383">
        <w:rPr>
          <w:rFonts w:ascii="Arial" w:hAnsi="Arial" w:cs="Arial"/>
        </w:rPr>
        <w:t> </w:t>
      </w:r>
      <w:r w:rsidRPr="00F15C89">
        <w:rPr>
          <w:rFonts w:ascii="Arial" w:hAnsi="Arial" w:cs="Arial"/>
        </w:rPr>
        <w:t>možné době jejich skladování. Na tento sezónní kalendář je navázaný požadavek, který reflektuje různou dostupnost těchto produktů ve dvou obdobích v průběhu kalendářního roku</w:t>
      </w:r>
      <w:r w:rsidR="002B6478" w:rsidRPr="00F15C89">
        <w:rPr>
          <w:rFonts w:ascii="Arial" w:hAnsi="Arial" w:cs="Arial"/>
        </w:rPr>
        <w:t xml:space="preserve"> v geografické oblasti, ve které se</w:t>
      </w:r>
      <w:r w:rsidR="006179FA" w:rsidRPr="00F15C89">
        <w:rPr>
          <w:rFonts w:ascii="Arial" w:hAnsi="Arial" w:cs="Arial"/>
        </w:rPr>
        <w:t> </w:t>
      </w:r>
      <w:r w:rsidR="002B6478" w:rsidRPr="00F15C89">
        <w:rPr>
          <w:rFonts w:ascii="Arial" w:hAnsi="Arial" w:cs="Arial"/>
        </w:rPr>
        <w:t>nachází Česká republika</w:t>
      </w:r>
      <w:r w:rsidRPr="00F15C89">
        <w:rPr>
          <w:rFonts w:ascii="Arial" w:hAnsi="Arial" w:cs="Arial"/>
        </w:rPr>
        <w:t>.</w:t>
      </w:r>
    </w:p>
    <w:p w14:paraId="44D82044" w14:textId="77777777" w:rsidR="00012B38" w:rsidRPr="00F15C89" w:rsidRDefault="00012B38" w:rsidP="002B6478">
      <w:pPr>
        <w:spacing w:after="0" w:line="240" w:lineRule="auto"/>
        <w:ind w:firstLine="426"/>
        <w:jc w:val="both"/>
        <w:rPr>
          <w:rFonts w:ascii="Arial" w:hAnsi="Arial" w:cs="Arial"/>
        </w:rPr>
      </w:pPr>
    </w:p>
    <w:p w14:paraId="74657BAC" w14:textId="48850954" w:rsidR="00012B38" w:rsidRPr="00F15C89" w:rsidRDefault="00012B38" w:rsidP="0015693B">
      <w:pPr>
        <w:spacing w:after="0" w:line="240" w:lineRule="auto"/>
        <w:ind w:firstLine="426"/>
        <w:jc w:val="both"/>
        <w:rPr>
          <w:rFonts w:ascii="Arial" w:hAnsi="Arial" w:cs="Arial"/>
        </w:rPr>
      </w:pPr>
      <w:r w:rsidRPr="00F15C89">
        <w:rPr>
          <w:rFonts w:ascii="Arial" w:hAnsi="Arial" w:cs="Arial"/>
        </w:rPr>
        <w:t xml:space="preserve">Zadavatel splní minimální standard tím, že pořizuje čerstvé ovoce, čerstvou zeleninu </w:t>
      </w:r>
      <w:r w:rsidR="00477383" w:rsidRPr="00F15C89">
        <w:rPr>
          <w:rFonts w:ascii="Arial" w:hAnsi="Arial" w:cs="Arial"/>
        </w:rPr>
        <w:t>a</w:t>
      </w:r>
      <w:r w:rsidR="00477383">
        <w:rPr>
          <w:rFonts w:ascii="Arial" w:hAnsi="Arial" w:cs="Arial"/>
        </w:rPr>
        <w:t> </w:t>
      </w:r>
      <w:r w:rsidRPr="00F15C89">
        <w:rPr>
          <w:rFonts w:ascii="Arial" w:hAnsi="Arial" w:cs="Arial"/>
        </w:rPr>
        <w:t>brambory ve výše uvedených měsících v souladu se Sezónním kalendářem ovoce, zeleniny a brambor Ministerstva zemědělství</w:t>
      </w:r>
      <w:r w:rsidRPr="00F15C89">
        <w:rPr>
          <w:rStyle w:val="Znakapoznpodarou"/>
          <w:rFonts w:ascii="Arial" w:hAnsi="Arial" w:cs="Arial"/>
          <w:vertAlign w:val="superscript"/>
        </w:rPr>
        <w:footnoteReference w:id="13"/>
      </w:r>
      <w:r w:rsidRPr="00F15C89">
        <w:rPr>
          <w:rFonts w:ascii="Arial" w:hAnsi="Arial" w:cs="Arial"/>
        </w:rPr>
        <w:t xml:space="preserve">, tedy čerstvé ovoce, čerstvou zeleninu nebo brambory odpovídající daným měsícům, ve kterých je tato produkce sklízena nebo skladována. V souladu s tímto standardem si zadavatel může pro nákup daných druhů ovoce a zeleniny vybrat z obou sloupců tabulky Sezónního kalendáře, jak ze sloupce „Doba dozrávání </w:t>
      </w:r>
      <w:r w:rsidR="00477383" w:rsidRPr="00F15C89">
        <w:rPr>
          <w:rFonts w:ascii="Arial" w:hAnsi="Arial" w:cs="Arial"/>
        </w:rPr>
        <w:t>a</w:t>
      </w:r>
      <w:r w:rsidR="00477383">
        <w:rPr>
          <w:rFonts w:ascii="Arial" w:hAnsi="Arial" w:cs="Arial"/>
        </w:rPr>
        <w:t> </w:t>
      </w:r>
      <w:r w:rsidRPr="00F15C89">
        <w:rPr>
          <w:rFonts w:ascii="Arial" w:hAnsi="Arial" w:cs="Arial"/>
        </w:rPr>
        <w:t xml:space="preserve">sklizně“, tak ze sloupce „Doba skladování“. I když nejsou v souladu s § 31 ZZVZ zadavatelé povinni dodržet zásadu podle § 6 odst. 4 ZZVZ při zadávání veřejné zakázky malého rozsahu, </w:t>
      </w:r>
      <w:r w:rsidRPr="00F15C89">
        <w:rPr>
          <w:rFonts w:ascii="Arial" w:hAnsi="Arial" w:cs="Arial"/>
        </w:rPr>
        <w:lastRenderedPageBreak/>
        <w:t xml:space="preserve">mohou do součtu cen </w:t>
      </w:r>
      <w:r w:rsidR="001043F3" w:rsidRPr="00F15C89">
        <w:rPr>
          <w:rFonts w:ascii="Arial" w:hAnsi="Arial" w:cs="Arial"/>
        </w:rPr>
        <w:t>dodané sezonní produkce</w:t>
      </w:r>
      <w:r w:rsidRPr="00F15C89">
        <w:rPr>
          <w:rFonts w:ascii="Arial" w:hAnsi="Arial" w:cs="Arial"/>
        </w:rPr>
        <w:t xml:space="preserve"> pro dosažení % finančního objemu svých veřejných zakázek na dodávky potravin ve výše uvedených obdobích započíst i veřejné zakázky malého rozsahu, prostřednictvím kterých pořídí sezónní produkci ovoce, zeleniny nebo brambor.</w:t>
      </w:r>
    </w:p>
    <w:p w14:paraId="74467B01" w14:textId="77777777" w:rsidR="00012B38" w:rsidRPr="00F15C89" w:rsidRDefault="00012B38" w:rsidP="00012B38">
      <w:pPr>
        <w:spacing w:after="0" w:line="240" w:lineRule="auto"/>
        <w:jc w:val="both"/>
        <w:rPr>
          <w:rFonts w:ascii="Arial" w:hAnsi="Arial" w:cs="Arial"/>
        </w:rPr>
      </w:pPr>
    </w:p>
    <w:p w14:paraId="408A7E01" w14:textId="2A357105" w:rsidR="00012B38" w:rsidRPr="00F15C89" w:rsidRDefault="001937FB" w:rsidP="0015693B">
      <w:pPr>
        <w:spacing w:after="0" w:line="240" w:lineRule="auto"/>
        <w:ind w:firstLine="426"/>
        <w:jc w:val="both"/>
        <w:rPr>
          <w:rFonts w:ascii="Arial" w:hAnsi="Arial" w:cs="Arial"/>
        </w:rPr>
      </w:pPr>
      <w:r w:rsidRPr="00F15C89">
        <w:rPr>
          <w:rFonts w:ascii="Arial" w:hAnsi="Arial" w:cs="Arial"/>
        </w:rPr>
        <w:t>Zadavatel si pro zajištění minimálního podílu sezonního ovoce, zeleniny nebo brambor sám zvolí postup, jak minimální podíl naplnit, Ministerstvo pro místní rozvoj zveřejní možnosti postupu a textací do zadávací dokumentace a do smlouvy.</w:t>
      </w:r>
    </w:p>
    <w:p w14:paraId="6CC25BA3" w14:textId="77777777" w:rsidR="00F13BB9" w:rsidRPr="00F15C89" w:rsidRDefault="00F13BB9" w:rsidP="00F35517">
      <w:pPr>
        <w:spacing w:after="0" w:line="240" w:lineRule="auto"/>
        <w:jc w:val="both"/>
        <w:rPr>
          <w:rFonts w:ascii="Arial" w:hAnsi="Arial" w:cs="Arial"/>
        </w:rPr>
      </w:pPr>
    </w:p>
    <w:p w14:paraId="774279B7" w14:textId="77777777" w:rsidR="00F13BB9" w:rsidRPr="00F15C89" w:rsidRDefault="00F13BB9" w:rsidP="00F35517">
      <w:pPr>
        <w:pStyle w:val="Odstavecseseznamem"/>
        <w:numPr>
          <w:ilvl w:val="0"/>
          <w:numId w:val="36"/>
        </w:numPr>
        <w:spacing w:after="0" w:line="240" w:lineRule="auto"/>
        <w:ind w:left="426" w:hanging="426"/>
        <w:jc w:val="both"/>
        <w:rPr>
          <w:rFonts w:ascii="Arial" w:hAnsi="Arial" w:cs="Arial"/>
        </w:rPr>
      </w:pPr>
      <w:r w:rsidRPr="00F15C89">
        <w:rPr>
          <w:rFonts w:ascii="Arial" w:hAnsi="Arial" w:cs="Arial"/>
        </w:rPr>
        <w:t>Káva a kakao s certifikací spravedlivého a etického obchodu Fairtrade</w:t>
      </w:r>
    </w:p>
    <w:p w14:paraId="27C15C89" w14:textId="7E4CD38F" w:rsidR="001B0499" w:rsidRPr="00F15C89" w:rsidRDefault="001B0499" w:rsidP="001B0499">
      <w:pPr>
        <w:spacing w:after="0" w:line="240" w:lineRule="auto"/>
        <w:ind w:firstLine="426"/>
        <w:jc w:val="both"/>
        <w:rPr>
          <w:rFonts w:ascii="Arial" w:eastAsia="Times New Roman" w:hAnsi="Arial" w:cs="Arial"/>
          <w:color w:val="000000" w:themeColor="text1"/>
          <w:lang w:eastAsia="cs-CZ"/>
        </w:rPr>
      </w:pPr>
      <w:r w:rsidRPr="00F15C89">
        <w:rPr>
          <w:rFonts w:ascii="Arial" w:hAnsi="Arial" w:cs="Arial"/>
        </w:rPr>
        <w:t xml:space="preserve">Tento požadavek je </w:t>
      </w:r>
      <w:r w:rsidR="00D73DF6" w:rsidRPr="00F15C89">
        <w:rPr>
          <w:rFonts w:ascii="Arial" w:eastAsiaTheme="minorEastAsia" w:hAnsi="Arial" w:cs="Arial"/>
          <w:color w:val="333333"/>
        </w:rPr>
        <w:t>požadavkem na vlastnosti předmětu veřejné zakázky, které zadavatel stanoví prostřednictvím odkazu na štítek</w:t>
      </w:r>
      <w:r w:rsidRPr="00F15C89">
        <w:rPr>
          <w:rFonts w:ascii="Arial" w:hAnsi="Arial" w:cs="Arial"/>
        </w:rPr>
        <w:t xml:space="preserve"> ve smyslu § 94 </w:t>
      </w:r>
      <w:r w:rsidR="00FD220B" w:rsidRPr="00F15C89">
        <w:rPr>
          <w:rFonts w:ascii="Arial" w:eastAsia="Times New Roman" w:hAnsi="Arial" w:cs="Arial"/>
          <w:color w:val="262626"/>
          <w:lang w:eastAsia="cs-CZ"/>
        </w:rPr>
        <w:t>ZZVZ</w:t>
      </w:r>
      <w:r w:rsidRPr="00F15C89">
        <w:rPr>
          <w:rFonts w:ascii="Arial" w:eastAsia="Times New Roman" w:hAnsi="Arial" w:cs="Arial"/>
          <w:color w:val="000000" w:themeColor="text1"/>
          <w:lang w:eastAsia="cs-CZ"/>
        </w:rPr>
        <w:t>.</w:t>
      </w:r>
    </w:p>
    <w:p w14:paraId="6E1A9E15" w14:textId="77777777" w:rsidR="001B0499" w:rsidRPr="00F15C89" w:rsidRDefault="001B0499" w:rsidP="001B0499">
      <w:pPr>
        <w:spacing w:after="0" w:line="240" w:lineRule="auto"/>
        <w:ind w:firstLine="426"/>
        <w:jc w:val="both"/>
        <w:rPr>
          <w:rFonts w:ascii="Arial" w:hAnsi="Arial" w:cs="Arial"/>
        </w:rPr>
      </w:pPr>
    </w:p>
    <w:p w14:paraId="77D437C4" w14:textId="6AED5EC7" w:rsidR="00F13BB9" w:rsidRPr="00F15C89" w:rsidRDefault="00711AE8" w:rsidP="0002406B">
      <w:pPr>
        <w:spacing w:after="0" w:line="240" w:lineRule="auto"/>
        <w:ind w:firstLine="426"/>
        <w:jc w:val="both"/>
        <w:rPr>
          <w:rFonts w:ascii="Arial" w:hAnsi="Arial" w:cs="Arial"/>
        </w:rPr>
      </w:pPr>
      <w:r w:rsidRPr="00F15C89">
        <w:rPr>
          <w:rFonts w:ascii="Arial" w:hAnsi="Arial" w:cs="Arial"/>
        </w:rPr>
        <w:t xml:space="preserve">Certifikaci spravedlivého a etického obchodu Fairtrade uděluje nezávislý auditor FLOCERT (akreditovaný ISO 17065). Tento systém certifikace je tvořen organizacemi </w:t>
      </w:r>
      <w:r w:rsidR="00477383">
        <w:rPr>
          <w:rFonts w:ascii="Arial" w:hAnsi="Arial" w:cs="Arial"/>
        </w:rPr>
        <w:t> </w:t>
      </w:r>
      <w:r w:rsidR="00477383" w:rsidRPr="00F15C89">
        <w:rPr>
          <w:rFonts w:ascii="Arial" w:hAnsi="Arial" w:cs="Arial"/>
        </w:rPr>
        <w:t>s</w:t>
      </w:r>
      <w:r w:rsidR="00477383">
        <w:rPr>
          <w:rFonts w:ascii="Arial" w:hAnsi="Arial" w:cs="Arial"/>
        </w:rPr>
        <w:t> </w:t>
      </w:r>
      <w:r w:rsidRPr="00F15C89">
        <w:rPr>
          <w:rFonts w:ascii="Arial" w:hAnsi="Arial" w:cs="Arial"/>
        </w:rPr>
        <w:t xml:space="preserve">mnoha zúčastněnými stranami a širokou členskou základnou a zabývá se mezinárodními standardy spravedlivého a etického obchodu, včetně pracovních podmínek </w:t>
      </w:r>
      <w:r w:rsidR="0015693B">
        <w:rPr>
          <w:rFonts w:ascii="Arial" w:hAnsi="Arial" w:cs="Arial"/>
        </w:rPr>
        <w:br/>
      </w:r>
      <w:r w:rsidRPr="00F15C89">
        <w:rPr>
          <w:rFonts w:ascii="Arial" w:hAnsi="Arial" w:cs="Arial"/>
        </w:rPr>
        <w:t xml:space="preserve">pro výrobu </w:t>
      </w:r>
      <w:r w:rsidR="00477383">
        <w:rPr>
          <w:rFonts w:ascii="Arial" w:hAnsi="Arial" w:cs="Arial"/>
        </w:rPr>
        <w:t> </w:t>
      </w:r>
      <w:r w:rsidR="00477383" w:rsidRPr="00F15C89">
        <w:rPr>
          <w:rFonts w:ascii="Arial" w:hAnsi="Arial" w:cs="Arial"/>
        </w:rPr>
        <w:t>v</w:t>
      </w:r>
      <w:r w:rsidR="00477383">
        <w:rPr>
          <w:rFonts w:ascii="Arial" w:hAnsi="Arial" w:cs="Arial"/>
        </w:rPr>
        <w:t> </w:t>
      </w:r>
      <w:r w:rsidRPr="00F15C89">
        <w:rPr>
          <w:rFonts w:ascii="Arial" w:hAnsi="Arial" w:cs="Arial"/>
        </w:rPr>
        <w:t>souladu se základními úmluvami Mezinárodní organizace práce (MOP)</w:t>
      </w:r>
      <w:r w:rsidRPr="00F15C89">
        <w:rPr>
          <w:rStyle w:val="Znakapoznpodarou"/>
          <w:rFonts w:ascii="Arial" w:hAnsi="Arial" w:cs="Arial"/>
          <w:vertAlign w:val="superscript"/>
        </w:rPr>
        <w:footnoteReference w:id="14"/>
      </w:r>
      <w:r w:rsidRPr="00F15C89">
        <w:rPr>
          <w:rFonts w:ascii="Arial" w:hAnsi="Arial" w:cs="Arial"/>
        </w:rPr>
        <w:t xml:space="preserve">, udržitelného obchodu a tvorby cen. </w:t>
      </w:r>
      <w:r w:rsidR="00F13BB9" w:rsidRPr="00F15C89">
        <w:rPr>
          <w:rFonts w:ascii="Arial" w:hAnsi="Arial" w:cs="Arial"/>
        </w:rPr>
        <w:t xml:space="preserve">Certifikace Fairtrade osvědčuje, že káva a kakao jsou vyrobeny </w:t>
      </w:r>
      <w:r w:rsidR="00477383" w:rsidRPr="00F15C89">
        <w:rPr>
          <w:rFonts w:ascii="Arial" w:hAnsi="Arial" w:cs="Arial"/>
        </w:rPr>
        <w:t>a</w:t>
      </w:r>
      <w:r w:rsidR="00477383">
        <w:rPr>
          <w:rFonts w:ascii="Arial" w:hAnsi="Arial" w:cs="Arial"/>
        </w:rPr>
        <w:t> </w:t>
      </w:r>
      <w:r w:rsidR="00F13BB9" w:rsidRPr="00F15C89">
        <w:rPr>
          <w:rFonts w:ascii="Arial" w:hAnsi="Arial" w:cs="Arial"/>
        </w:rPr>
        <w:t>obchodovány v</w:t>
      </w:r>
      <w:r w:rsidR="005A2081" w:rsidRPr="00F15C89">
        <w:rPr>
          <w:rFonts w:ascii="Arial" w:hAnsi="Arial" w:cs="Arial"/>
        </w:rPr>
        <w:t> </w:t>
      </w:r>
      <w:r w:rsidR="00F13BB9" w:rsidRPr="00F15C89">
        <w:rPr>
          <w:rFonts w:ascii="Arial" w:hAnsi="Arial" w:cs="Arial"/>
        </w:rPr>
        <w:t xml:space="preserve">souladu s požadavky systému certifikace pro spravedlivý a etický obchod, přičemž zaručují certifikovaný obsah ve výši 100 % (na rozdíl od jiných standardů certifikace, jako např Rainforest Alliance, který zaručuje certifikovaný obsah v konečném výrobku od 30 %). </w:t>
      </w:r>
    </w:p>
    <w:p w14:paraId="236C4427" w14:textId="77777777" w:rsidR="00F13BB9" w:rsidRPr="00F15C89" w:rsidRDefault="00F13BB9" w:rsidP="00F35517">
      <w:pPr>
        <w:spacing w:after="0" w:line="240" w:lineRule="auto"/>
        <w:jc w:val="both"/>
        <w:rPr>
          <w:rFonts w:ascii="Arial" w:hAnsi="Arial" w:cs="Arial"/>
          <w:b/>
          <w:bCs/>
        </w:rPr>
      </w:pPr>
    </w:p>
    <w:p w14:paraId="0B7F6004" w14:textId="791DEA54" w:rsidR="00F13BB9" w:rsidRPr="00F15C89" w:rsidRDefault="00F13BB9" w:rsidP="008138CC">
      <w:pPr>
        <w:spacing w:after="0" w:line="240" w:lineRule="auto"/>
        <w:ind w:firstLine="426"/>
        <w:jc w:val="both"/>
        <w:rPr>
          <w:rFonts w:ascii="Arial" w:hAnsi="Arial" w:cs="Arial"/>
        </w:rPr>
      </w:pPr>
      <w:r w:rsidRPr="00F15C89">
        <w:rPr>
          <w:rFonts w:ascii="Arial" w:hAnsi="Arial" w:cs="Arial"/>
        </w:rPr>
        <w:t>Výrobky ze spravedlivého a etického obchodu zaručují dodržení osmi klíčových Úmluv mezinárodní organizace práce v souladu s čl. 18 odst. 2 a Přílohou X směrnice 2014/24/EU, tedy zaručují minimální pracovní podmínky osob, které se podílejí na</w:t>
      </w:r>
      <w:r w:rsidR="005A2081" w:rsidRPr="00F15C89">
        <w:rPr>
          <w:rFonts w:ascii="Arial" w:hAnsi="Arial" w:cs="Arial"/>
        </w:rPr>
        <w:t> </w:t>
      </w:r>
      <w:r w:rsidRPr="00F15C89">
        <w:rPr>
          <w:rFonts w:ascii="Arial" w:hAnsi="Arial" w:cs="Arial"/>
        </w:rPr>
        <w:t xml:space="preserve">produkci dané komodity, zejména jde o vyloučení nucené práce, dětské práce. </w:t>
      </w:r>
      <w:r w:rsidR="003C4687" w:rsidRPr="00F15C89">
        <w:rPr>
          <w:rFonts w:ascii="Arial" w:hAnsi="Arial" w:cs="Arial"/>
        </w:rPr>
        <w:t xml:space="preserve">Vyšší cena </w:t>
      </w:r>
      <w:r w:rsidR="000A3316" w:rsidRPr="00F15C89">
        <w:rPr>
          <w:rFonts w:ascii="Arial" w:hAnsi="Arial" w:cs="Arial"/>
        </w:rPr>
        <w:t xml:space="preserve">fairtradových výrobků </w:t>
      </w:r>
      <w:r w:rsidR="003C4687" w:rsidRPr="00F15C89">
        <w:rPr>
          <w:rFonts w:ascii="Arial" w:hAnsi="Arial" w:cs="Arial"/>
        </w:rPr>
        <w:t xml:space="preserve">tak není </w:t>
      </w:r>
      <w:r w:rsidR="000A3316" w:rsidRPr="00F15C89">
        <w:rPr>
          <w:rFonts w:ascii="Arial" w:hAnsi="Arial" w:cs="Arial"/>
        </w:rPr>
        <w:t xml:space="preserve">odrazem nehospodárného nakládání s veřejnými financemi, ale </w:t>
      </w:r>
      <w:r w:rsidR="00F77F48" w:rsidRPr="00F15C89">
        <w:rPr>
          <w:rFonts w:ascii="Arial" w:hAnsi="Arial" w:cs="Arial"/>
        </w:rPr>
        <w:t xml:space="preserve">(obdobně jako </w:t>
      </w:r>
      <w:r w:rsidR="002C22B6" w:rsidRPr="00F15C89">
        <w:rPr>
          <w:rFonts w:ascii="Arial" w:hAnsi="Arial" w:cs="Arial"/>
        </w:rPr>
        <w:t xml:space="preserve">dodržováním důstojných pracovních podmínek </w:t>
      </w:r>
      <w:r w:rsidR="00F77F48" w:rsidRPr="00F15C89">
        <w:rPr>
          <w:rFonts w:ascii="Arial" w:hAnsi="Arial" w:cs="Arial"/>
        </w:rPr>
        <w:t>u služeb os</w:t>
      </w:r>
      <w:r w:rsidR="00F27A39" w:rsidRPr="00F15C89">
        <w:rPr>
          <w:rFonts w:ascii="Arial" w:hAnsi="Arial" w:cs="Arial"/>
        </w:rPr>
        <w:t>t</w:t>
      </w:r>
      <w:r w:rsidR="00F77F48" w:rsidRPr="00F15C89">
        <w:rPr>
          <w:rFonts w:ascii="Arial" w:hAnsi="Arial" w:cs="Arial"/>
        </w:rPr>
        <w:t>rahy</w:t>
      </w:r>
      <w:r w:rsidR="002C22B6" w:rsidRPr="00F15C89">
        <w:rPr>
          <w:rFonts w:ascii="Arial" w:hAnsi="Arial" w:cs="Arial"/>
        </w:rPr>
        <w:t xml:space="preserve"> či úklidu</w:t>
      </w:r>
      <w:r w:rsidR="00F77F48" w:rsidRPr="00F15C89">
        <w:rPr>
          <w:rFonts w:ascii="Arial" w:hAnsi="Arial" w:cs="Arial"/>
        </w:rPr>
        <w:t xml:space="preserve">) </w:t>
      </w:r>
      <w:r w:rsidR="009D1C56" w:rsidRPr="00F15C89">
        <w:rPr>
          <w:rFonts w:ascii="Arial" w:hAnsi="Arial" w:cs="Arial"/>
        </w:rPr>
        <w:t xml:space="preserve">způsobem, jak prokazatelně dodržet </w:t>
      </w:r>
      <w:r w:rsidR="00F50B4D" w:rsidRPr="00F15C89">
        <w:rPr>
          <w:rFonts w:ascii="Arial" w:hAnsi="Arial" w:cs="Arial"/>
        </w:rPr>
        <w:t>shora uvedené ustanovení směrnice 2</w:t>
      </w:r>
      <w:r w:rsidR="00872AB7" w:rsidRPr="00F15C89">
        <w:rPr>
          <w:rFonts w:ascii="Arial" w:hAnsi="Arial" w:cs="Arial"/>
        </w:rPr>
        <w:t>0</w:t>
      </w:r>
      <w:r w:rsidR="00F50B4D" w:rsidRPr="00F15C89">
        <w:rPr>
          <w:rFonts w:ascii="Arial" w:hAnsi="Arial" w:cs="Arial"/>
        </w:rPr>
        <w:t>14/24/</w:t>
      </w:r>
      <w:r w:rsidR="00F50B4D" w:rsidRPr="00F15C89" w:rsidDel="00F50B4D">
        <w:rPr>
          <w:rFonts w:ascii="Arial" w:hAnsi="Arial" w:cs="Arial"/>
        </w:rPr>
        <w:t xml:space="preserve"> </w:t>
      </w:r>
      <w:r w:rsidR="00F27A39" w:rsidRPr="00F15C89">
        <w:rPr>
          <w:rFonts w:ascii="Arial" w:hAnsi="Arial" w:cs="Arial"/>
        </w:rPr>
        <w:t xml:space="preserve">a </w:t>
      </w:r>
      <w:r w:rsidR="00540820" w:rsidRPr="00F15C89">
        <w:rPr>
          <w:rFonts w:ascii="Arial" w:hAnsi="Arial" w:cs="Arial"/>
        </w:rPr>
        <w:t>neakceptování nucené práce, dětské práce apod., které (byť se dějí v zemích produkce) jsou jinak financovány z veřejných zdrojů České republiky.</w:t>
      </w:r>
      <w:r w:rsidR="002C22B6" w:rsidRPr="00F15C89">
        <w:rPr>
          <w:rFonts w:ascii="Arial" w:hAnsi="Arial" w:cs="Arial"/>
        </w:rPr>
        <w:t xml:space="preserve"> </w:t>
      </w:r>
      <w:r w:rsidR="00736B45" w:rsidRPr="00F15C89">
        <w:rPr>
          <w:rFonts w:ascii="Arial" w:hAnsi="Arial" w:cs="Arial"/>
        </w:rPr>
        <w:t>V</w:t>
      </w:r>
      <w:r w:rsidR="002C22B6" w:rsidRPr="00F15C89">
        <w:rPr>
          <w:rFonts w:ascii="Arial" w:hAnsi="Arial" w:cs="Arial"/>
        </w:rPr>
        <w:t>ybrané druhy potravin – káva a kakao</w:t>
      </w:r>
      <w:r w:rsidR="00F73337" w:rsidRPr="00F15C89">
        <w:rPr>
          <w:rFonts w:ascii="Arial" w:hAnsi="Arial" w:cs="Arial"/>
        </w:rPr>
        <w:t xml:space="preserve">, </w:t>
      </w:r>
      <w:r w:rsidR="002977B3" w:rsidRPr="00F15C89">
        <w:rPr>
          <w:rFonts w:ascii="Arial" w:hAnsi="Arial" w:cs="Arial"/>
        </w:rPr>
        <w:t xml:space="preserve">představují pouze </w:t>
      </w:r>
      <w:r w:rsidR="00147A52" w:rsidRPr="00F15C89">
        <w:rPr>
          <w:rFonts w:ascii="Arial" w:hAnsi="Arial" w:cs="Arial"/>
        </w:rPr>
        <w:t>úzkou výseč</w:t>
      </w:r>
      <w:r w:rsidR="00D30019" w:rsidRPr="00F15C89">
        <w:rPr>
          <w:rFonts w:ascii="Arial" w:hAnsi="Arial" w:cs="Arial"/>
        </w:rPr>
        <w:t> důsledn</w:t>
      </w:r>
      <w:r w:rsidR="00C426D4" w:rsidRPr="00F15C89">
        <w:rPr>
          <w:rFonts w:ascii="Arial" w:hAnsi="Arial" w:cs="Arial"/>
        </w:rPr>
        <w:t>é</w:t>
      </w:r>
      <w:r w:rsidR="00147A52" w:rsidRPr="00F15C89">
        <w:rPr>
          <w:rFonts w:ascii="Arial" w:hAnsi="Arial" w:cs="Arial"/>
        </w:rPr>
        <w:t>ho</w:t>
      </w:r>
      <w:r w:rsidR="00D30019" w:rsidRPr="00F15C89">
        <w:rPr>
          <w:rFonts w:ascii="Arial" w:hAnsi="Arial" w:cs="Arial"/>
        </w:rPr>
        <w:t xml:space="preserve"> dodržování Úmluv mezinárodní organizace práce</w:t>
      </w:r>
      <w:r w:rsidR="002977B3" w:rsidRPr="00F15C89">
        <w:rPr>
          <w:rFonts w:ascii="Arial" w:hAnsi="Arial" w:cs="Arial"/>
        </w:rPr>
        <w:t xml:space="preserve">, při další aktualizaci </w:t>
      </w:r>
      <w:r w:rsidR="006B2B43" w:rsidRPr="00F15C89">
        <w:rPr>
          <w:rFonts w:ascii="Arial" w:hAnsi="Arial" w:cs="Arial"/>
        </w:rPr>
        <w:t xml:space="preserve">Minimálních standardů OVZ </w:t>
      </w:r>
      <w:r w:rsidR="00FD0316" w:rsidRPr="00F15C89">
        <w:rPr>
          <w:rFonts w:ascii="Arial" w:hAnsi="Arial" w:cs="Arial"/>
        </w:rPr>
        <w:t>mohou být případně</w:t>
      </w:r>
      <w:r w:rsidR="006B2B43" w:rsidRPr="00F15C89">
        <w:rPr>
          <w:rFonts w:ascii="Arial" w:hAnsi="Arial" w:cs="Arial"/>
        </w:rPr>
        <w:t xml:space="preserve"> zvažovány </w:t>
      </w:r>
      <w:r w:rsidR="00736B45" w:rsidRPr="00F15C89">
        <w:rPr>
          <w:rFonts w:ascii="Arial" w:hAnsi="Arial" w:cs="Arial"/>
        </w:rPr>
        <w:t xml:space="preserve">další druhy potravin, </w:t>
      </w:r>
      <w:r w:rsidR="006B2B43" w:rsidRPr="00F15C89">
        <w:rPr>
          <w:rFonts w:ascii="Arial" w:hAnsi="Arial" w:cs="Arial"/>
        </w:rPr>
        <w:t xml:space="preserve">např. banány, </w:t>
      </w:r>
      <w:r w:rsidR="00C426D4" w:rsidRPr="00F15C89">
        <w:rPr>
          <w:rFonts w:ascii="Arial" w:hAnsi="Arial" w:cs="Arial"/>
        </w:rPr>
        <w:t xml:space="preserve">černý čaj, </w:t>
      </w:r>
      <w:r w:rsidR="006B2B43" w:rsidRPr="00F15C89">
        <w:rPr>
          <w:rFonts w:ascii="Arial" w:hAnsi="Arial" w:cs="Arial"/>
        </w:rPr>
        <w:t>ovocné džusy</w:t>
      </w:r>
      <w:r w:rsidR="00C426D4" w:rsidRPr="00F15C89">
        <w:rPr>
          <w:rFonts w:ascii="Arial" w:hAnsi="Arial" w:cs="Arial"/>
        </w:rPr>
        <w:t xml:space="preserve"> či rýže.</w:t>
      </w:r>
    </w:p>
    <w:p w14:paraId="309336BF" w14:textId="77777777" w:rsidR="00F13BB9" w:rsidRPr="00F15C89" w:rsidRDefault="00F13BB9" w:rsidP="00F35517">
      <w:pPr>
        <w:spacing w:after="0" w:line="240" w:lineRule="auto"/>
        <w:jc w:val="both"/>
        <w:rPr>
          <w:rFonts w:ascii="Arial" w:hAnsi="Arial" w:cs="Arial"/>
        </w:rPr>
      </w:pPr>
    </w:p>
    <w:p w14:paraId="756F6726" w14:textId="5C978469" w:rsidR="002B0C57" w:rsidRPr="00F15C89" w:rsidRDefault="002B0C57" w:rsidP="008138CC">
      <w:pPr>
        <w:spacing w:after="0" w:line="240" w:lineRule="auto"/>
        <w:ind w:firstLine="426"/>
        <w:jc w:val="both"/>
        <w:rPr>
          <w:rFonts w:ascii="Arial" w:hAnsi="Arial" w:cs="Arial"/>
        </w:rPr>
      </w:pPr>
      <w:r w:rsidRPr="00F15C89">
        <w:rPr>
          <w:rFonts w:ascii="Arial" w:hAnsi="Arial" w:cs="Arial"/>
        </w:rPr>
        <w:t>Ministerstvo pro místní rozvoj zveřejní možnosti ověřování a alternativního ověřování (rovnocenných štítků) a textací do zadávací dokumentace a do smlouvy.</w:t>
      </w:r>
    </w:p>
    <w:p w14:paraId="28036D69" w14:textId="77777777" w:rsidR="002B0C57" w:rsidRPr="00F15C89" w:rsidRDefault="002B0C57" w:rsidP="00F35517">
      <w:pPr>
        <w:spacing w:after="0" w:line="240" w:lineRule="auto"/>
        <w:jc w:val="both"/>
        <w:rPr>
          <w:rFonts w:ascii="Arial" w:hAnsi="Arial" w:cs="Arial"/>
        </w:rPr>
      </w:pPr>
    </w:p>
    <w:p w14:paraId="1AA80732" w14:textId="1E84637C" w:rsidR="00F13BB9" w:rsidRPr="00F15C89" w:rsidRDefault="00F13BB9" w:rsidP="00F35517">
      <w:pPr>
        <w:pStyle w:val="Odstavecseseznamem"/>
        <w:numPr>
          <w:ilvl w:val="0"/>
          <w:numId w:val="36"/>
        </w:numPr>
        <w:spacing w:after="0" w:line="240" w:lineRule="auto"/>
        <w:ind w:left="284" w:hanging="284"/>
        <w:jc w:val="both"/>
        <w:rPr>
          <w:rFonts w:ascii="Arial" w:hAnsi="Arial" w:cs="Arial"/>
        </w:rPr>
      </w:pPr>
      <w:r w:rsidRPr="00F15C89">
        <w:rPr>
          <w:rFonts w:ascii="Arial" w:hAnsi="Arial" w:cs="Arial"/>
        </w:rPr>
        <w:t xml:space="preserve">Vyloučení vajec </w:t>
      </w:r>
      <w:r w:rsidR="0029535F" w:rsidRPr="00F15C89">
        <w:rPr>
          <w:rFonts w:ascii="Arial" w:hAnsi="Arial" w:cs="Arial"/>
        </w:rPr>
        <w:t xml:space="preserve">ve skořápce </w:t>
      </w:r>
      <w:r w:rsidRPr="00F15C89">
        <w:rPr>
          <w:rFonts w:ascii="Arial" w:hAnsi="Arial" w:cs="Arial"/>
        </w:rPr>
        <w:t xml:space="preserve">nosnic v klecích </w:t>
      </w:r>
    </w:p>
    <w:p w14:paraId="3B28B96B" w14:textId="059FBB4F" w:rsidR="00F13BB9" w:rsidRPr="00F15C89" w:rsidRDefault="00F13BB9" w:rsidP="008138CC">
      <w:pPr>
        <w:spacing w:after="0" w:line="240" w:lineRule="auto"/>
        <w:ind w:firstLine="426"/>
        <w:jc w:val="both"/>
        <w:rPr>
          <w:rFonts w:ascii="Arial" w:hAnsi="Arial" w:cs="Arial"/>
        </w:rPr>
      </w:pPr>
      <w:r w:rsidRPr="00F15C89">
        <w:rPr>
          <w:rFonts w:ascii="Arial" w:hAnsi="Arial" w:cs="Arial"/>
        </w:rPr>
        <w:t>Tento standard se zaměřuje na zajištění dobrých životních podmínek nosnic a</w:t>
      </w:r>
      <w:r w:rsidR="004360C4" w:rsidRPr="00F15C89">
        <w:rPr>
          <w:rFonts w:ascii="Arial" w:hAnsi="Arial" w:cs="Arial"/>
        </w:rPr>
        <w:t> </w:t>
      </w:r>
      <w:r w:rsidRPr="00F15C89">
        <w:rPr>
          <w:rFonts w:ascii="Arial" w:hAnsi="Arial" w:cs="Arial"/>
        </w:rPr>
        <w:t>reflektuje již platnou tuzemskou právní úpravu, tedy zákaz klecového chovu nosnic, včetně chovu v obohacených klecových systémech v České republice upravený v</w:t>
      </w:r>
      <w:r w:rsidR="006179FA" w:rsidRPr="00F15C89">
        <w:rPr>
          <w:rFonts w:ascii="Arial" w:hAnsi="Arial" w:cs="Arial"/>
        </w:rPr>
        <w:t> </w:t>
      </w:r>
      <w:r w:rsidRPr="00F15C89">
        <w:rPr>
          <w:rFonts w:ascii="Arial" w:hAnsi="Arial" w:cs="Arial"/>
        </w:rPr>
        <w:t>§</w:t>
      </w:r>
      <w:r w:rsidR="006179FA" w:rsidRPr="00F15C89">
        <w:rPr>
          <w:rFonts w:ascii="Arial" w:hAnsi="Arial" w:cs="Arial"/>
        </w:rPr>
        <w:t> </w:t>
      </w:r>
      <w:r w:rsidRPr="00F15C89">
        <w:rPr>
          <w:rFonts w:ascii="Arial" w:hAnsi="Arial" w:cs="Arial"/>
        </w:rPr>
        <w:t>12h zákona č. 246/1992 Sb., na ochranu zvířat proti týrání, s účinností od 1. ledna 2027</w:t>
      </w:r>
      <w:r w:rsidRPr="00F15C89">
        <w:rPr>
          <w:rStyle w:val="Znakapoznpodarou"/>
          <w:rFonts w:ascii="Arial" w:hAnsi="Arial" w:cs="Arial"/>
          <w:vertAlign w:val="superscript"/>
        </w:rPr>
        <w:footnoteReference w:id="15"/>
      </w:r>
      <w:r w:rsidRPr="00F15C89">
        <w:rPr>
          <w:rFonts w:ascii="Arial" w:hAnsi="Arial" w:cs="Arial"/>
        </w:rPr>
        <w:t>. Nákup vajec</w:t>
      </w:r>
      <w:r w:rsidR="00BE601F" w:rsidRPr="00F15C89">
        <w:rPr>
          <w:rFonts w:ascii="Arial" w:hAnsi="Arial" w:cs="Arial"/>
        </w:rPr>
        <w:t xml:space="preserve"> </w:t>
      </w:r>
      <w:r w:rsidR="00AC7CD7">
        <w:rPr>
          <w:rFonts w:ascii="Arial" w:hAnsi="Arial" w:cs="Arial"/>
        </w:rPr>
        <w:br/>
      </w:r>
      <w:r w:rsidR="00BE601F" w:rsidRPr="00F15C89">
        <w:rPr>
          <w:rFonts w:ascii="Arial" w:hAnsi="Arial" w:cs="Arial"/>
        </w:rPr>
        <w:t>ve skořápce</w:t>
      </w:r>
      <w:r w:rsidRPr="00F15C89">
        <w:rPr>
          <w:rFonts w:ascii="Arial" w:hAnsi="Arial" w:cs="Arial"/>
        </w:rPr>
        <w:t xml:space="preserve"> </w:t>
      </w:r>
      <w:r w:rsidR="00477383" w:rsidRPr="00F15C89">
        <w:rPr>
          <w:rFonts w:ascii="Arial" w:hAnsi="Arial" w:cs="Arial"/>
        </w:rPr>
        <w:t>z</w:t>
      </w:r>
      <w:r w:rsidR="00477383">
        <w:rPr>
          <w:rFonts w:ascii="Arial" w:hAnsi="Arial" w:cs="Arial"/>
        </w:rPr>
        <w:t> </w:t>
      </w:r>
      <w:r w:rsidRPr="00F15C89">
        <w:rPr>
          <w:rFonts w:ascii="Arial" w:hAnsi="Arial" w:cs="Arial"/>
        </w:rPr>
        <w:t>neklecového chovu bude ve veřejných zakázkách na zajištění stravovacích služeb uplatněn nediskriminačně, tedy bez ohledu na to, zda se jedná o</w:t>
      </w:r>
      <w:r w:rsidR="006179FA" w:rsidRPr="00F15C89">
        <w:rPr>
          <w:rFonts w:ascii="Arial" w:hAnsi="Arial" w:cs="Arial"/>
        </w:rPr>
        <w:t> </w:t>
      </w:r>
      <w:r w:rsidRPr="00F15C89">
        <w:rPr>
          <w:rFonts w:ascii="Arial" w:hAnsi="Arial" w:cs="Arial"/>
        </w:rPr>
        <w:t xml:space="preserve">vejce </w:t>
      </w:r>
      <w:r w:rsidR="006500B9" w:rsidRPr="00F15C89">
        <w:rPr>
          <w:rFonts w:ascii="Arial" w:hAnsi="Arial" w:cs="Arial"/>
        </w:rPr>
        <w:t>ve skořápce</w:t>
      </w:r>
      <w:r w:rsidRPr="00F15C89">
        <w:rPr>
          <w:rFonts w:ascii="Arial" w:hAnsi="Arial" w:cs="Arial"/>
        </w:rPr>
        <w:t xml:space="preserve"> nosnic chovaných v klecích v ČR nebo v EU či</w:t>
      </w:r>
      <w:r w:rsidR="00D43249" w:rsidRPr="00F15C89">
        <w:rPr>
          <w:rFonts w:ascii="Arial" w:hAnsi="Arial" w:cs="Arial"/>
        </w:rPr>
        <w:t> </w:t>
      </w:r>
      <w:r w:rsidRPr="00F15C89">
        <w:rPr>
          <w:rFonts w:ascii="Arial" w:hAnsi="Arial" w:cs="Arial"/>
        </w:rPr>
        <w:t>pocházející ze třetích zemí a</w:t>
      </w:r>
      <w:r w:rsidR="006179FA" w:rsidRPr="00F15C89">
        <w:rPr>
          <w:rFonts w:ascii="Arial" w:hAnsi="Arial" w:cs="Arial"/>
        </w:rPr>
        <w:t> </w:t>
      </w:r>
      <w:r w:rsidRPr="00F15C89">
        <w:rPr>
          <w:rFonts w:ascii="Arial" w:hAnsi="Arial" w:cs="Arial"/>
        </w:rPr>
        <w:t xml:space="preserve">může tak přispět </w:t>
      </w:r>
      <w:r w:rsidRPr="00F15C89">
        <w:rPr>
          <w:rFonts w:ascii="Arial" w:hAnsi="Arial" w:cs="Arial"/>
        </w:rPr>
        <w:lastRenderedPageBreak/>
        <w:t xml:space="preserve">k hladkému přechodu na jiné systémy produkce pro dobu, kdy nabude v ČR účinnosti zákaz chovu nosnic v klecích. </w:t>
      </w:r>
    </w:p>
    <w:p w14:paraId="0075A2A6" w14:textId="77777777" w:rsidR="006253B9" w:rsidRPr="00F15C89" w:rsidRDefault="006253B9" w:rsidP="0002406B">
      <w:pPr>
        <w:spacing w:after="0" w:line="240" w:lineRule="auto"/>
        <w:ind w:firstLine="284"/>
        <w:jc w:val="both"/>
        <w:rPr>
          <w:rFonts w:ascii="Arial" w:hAnsi="Arial" w:cs="Arial"/>
        </w:rPr>
      </w:pPr>
    </w:p>
    <w:p w14:paraId="73474F68" w14:textId="13179BA2" w:rsidR="006253B9" w:rsidRPr="00F15C89" w:rsidRDefault="006253B9" w:rsidP="008138CC">
      <w:pPr>
        <w:spacing w:after="0" w:line="240" w:lineRule="auto"/>
        <w:ind w:firstLine="426"/>
        <w:jc w:val="both"/>
        <w:rPr>
          <w:rFonts w:ascii="Arial" w:hAnsi="Arial" w:cs="Arial"/>
        </w:rPr>
      </w:pPr>
      <w:r w:rsidRPr="00F15C89">
        <w:rPr>
          <w:rFonts w:ascii="Arial" w:hAnsi="Arial" w:cs="Arial"/>
        </w:rPr>
        <w:t xml:space="preserve">Kód producenta vajec ve skořápce produkovaných v České republice, zemích EU </w:t>
      </w:r>
      <w:r w:rsidR="00477383" w:rsidRPr="00F15C89">
        <w:rPr>
          <w:rFonts w:ascii="Arial" w:hAnsi="Arial" w:cs="Arial"/>
        </w:rPr>
        <w:t>a</w:t>
      </w:r>
      <w:r w:rsidR="00477383">
        <w:rPr>
          <w:rFonts w:ascii="Arial" w:hAnsi="Arial" w:cs="Arial"/>
        </w:rPr>
        <w:t> </w:t>
      </w:r>
      <w:r w:rsidRPr="00F15C89">
        <w:rPr>
          <w:rFonts w:ascii="Arial" w:hAnsi="Arial" w:cs="Arial"/>
        </w:rPr>
        <w:t xml:space="preserve">schválených provozech producentů ze třetích zemí lze </w:t>
      </w:r>
      <w:r w:rsidR="00D92D6B" w:rsidRPr="00F15C89">
        <w:rPr>
          <w:rFonts w:ascii="Arial" w:hAnsi="Arial" w:cs="Arial"/>
        </w:rPr>
        <w:t xml:space="preserve">jednoduše </w:t>
      </w:r>
      <w:r w:rsidRPr="00F15C89">
        <w:rPr>
          <w:rFonts w:ascii="Arial" w:hAnsi="Arial" w:cs="Arial"/>
        </w:rPr>
        <w:t>najít přímo na skořápce vejce a po vyloučení vajec ve skořápce nosnic v klecích označených kódem 3</w:t>
      </w:r>
      <w:r w:rsidR="00D92D6B" w:rsidRPr="00F15C89">
        <w:rPr>
          <w:rFonts w:ascii="Arial" w:hAnsi="Arial" w:cs="Arial"/>
        </w:rPr>
        <w:t>, může zadavatel nadále pořizovat vejce ve skořápce s</w:t>
      </w:r>
      <w:r w:rsidRPr="00F15C89">
        <w:rPr>
          <w:rFonts w:ascii="Arial" w:hAnsi="Arial" w:cs="Arial"/>
        </w:rPr>
        <w:t xml:space="preserve"> kód</w:t>
      </w:r>
      <w:r w:rsidR="00D92D6B" w:rsidRPr="00F15C89">
        <w:rPr>
          <w:rFonts w:ascii="Arial" w:hAnsi="Arial" w:cs="Arial"/>
        </w:rPr>
        <w:t>em</w:t>
      </w:r>
      <w:r w:rsidRPr="00F15C89">
        <w:rPr>
          <w:rFonts w:ascii="Arial" w:hAnsi="Arial" w:cs="Arial"/>
        </w:rPr>
        <w:t xml:space="preserve"> producenta</w:t>
      </w:r>
      <w:r w:rsidR="0096379C" w:rsidRPr="00F15C89">
        <w:rPr>
          <w:rFonts w:ascii="Arial" w:hAnsi="Arial" w:cs="Arial"/>
        </w:rPr>
        <w:t>, který obsahuje</w:t>
      </w:r>
      <w:r w:rsidRPr="00F15C89">
        <w:rPr>
          <w:rFonts w:ascii="Arial" w:hAnsi="Arial" w:cs="Arial"/>
        </w:rPr>
        <w:t xml:space="preserve">: </w:t>
      </w:r>
    </w:p>
    <w:p w14:paraId="495C5BD0" w14:textId="77777777" w:rsidR="006253B9" w:rsidRPr="00F15C89" w:rsidRDefault="006253B9" w:rsidP="00D92D6B">
      <w:pPr>
        <w:pStyle w:val="Odstavecseseznamem"/>
        <w:numPr>
          <w:ilvl w:val="0"/>
          <w:numId w:val="48"/>
        </w:numPr>
        <w:spacing w:after="0" w:line="240" w:lineRule="auto"/>
        <w:jc w:val="both"/>
        <w:rPr>
          <w:rFonts w:ascii="Arial" w:eastAsia="Calibri" w:hAnsi="Arial" w:cs="Arial"/>
        </w:rPr>
      </w:pPr>
      <w:r w:rsidRPr="00F15C89">
        <w:rPr>
          <w:rFonts w:ascii="Arial" w:hAnsi="Arial" w:cs="Arial"/>
        </w:rPr>
        <w:t xml:space="preserve">metodu chovu, jedná se o první číslici, přičemž označuje následující: </w:t>
      </w:r>
      <w:r w:rsidRPr="00F15C89">
        <w:rPr>
          <w:rFonts w:ascii="Arial" w:eastAsia="Calibri" w:hAnsi="Arial" w:cs="Arial"/>
        </w:rPr>
        <w:t>0 - vejce z ekologického chovu, 1 - vejce slepic z volného výběhu nebo 2 - vejce slepic v halách</w:t>
      </w:r>
    </w:p>
    <w:p w14:paraId="338A0290" w14:textId="77777777" w:rsidR="006253B9" w:rsidRPr="00F15C89" w:rsidRDefault="006253B9" w:rsidP="00D92D6B">
      <w:pPr>
        <w:pStyle w:val="Odstavecseseznamem"/>
        <w:numPr>
          <w:ilvl w:val="0"/>
          <w:numId w:val="48"/>
        </w:numPr>
        <w:spacing w:after="0" w:line="240" w:lineRule="auto"/>
        <w:jc w:val="both"/>
        <w:rPr>
          <w:rFonts w:ascii="Arial" w:eastAsia="Calibri" w:hAnsi="Arial" w:cs="Arial"/>
        </w:rPr>
      </w:pPr>
      <w:r w:rsidRPr="00F15C89">
        <w:rPr>
          <w:rFonts w:ascii="Arial" w:eastAsia="Calibri" w:hAnsi="Arial" w:cs="Arial"/>
        </w:rPr>
        <w:t xml:space="preserve">registrační kód státu, ze kterého vejce pochází, např. vejce z České republiky CZ, vejce z Rakouska AT apod. a </w:t>
      </w:r>
    </w:p>
    <w:p w14:paraId="67C49F9E" w14:textId="77777777" w:rsidR="006253B9" w:rsidRPr="00F15C89" w:rsidRDefault="006253B9" w:rsidP="00D92D6B">
      <w:pPr>
        <w:pStyle w:val="Odstavecseseznamem"/>
        <w:numPr>
          <w:ilvl w:val="0"/>
          <w:numId w:val="48"/>
        </w:numPr>
        <w:spacing w:after="0" w:line="240" w:lineRule="auto"/>
        <w:jc w:val="both"/>
        <w:rPr>
          <w:rFonts w:ascii="Arial" w:eastAsia="Calibri" w:hAnsi="Arial" w:cs="Arial"/>
        </w:rPr>
      </w:pPr>
      <w:r w:rsidRPr="00F15C89">
        <w:rPr>
          <w:rFonts w:ascii="Arial" w:eastAsia="Calibri" w:hAnsi="Arial" w:cs="Arial"/>
        </w:rPr>
        <w:t>čtyřmístný alfanumerický kód označující registrační číslo hospodářství.</w:t>
      </w:r>
    </w:p>
    <w:p w14:paraId="7D2C7132" w14:textId="77777777" w:rsidR="006253B9" w:rsidRPr="00F15C89" w:rsidRDefault="006253B9" w:rsidP="006253B9">
      <w:pPr>
        <w:spacing w:after="0" w:line="240" w:lineRule="auto"/>
        <w:jc w:val="both"/>
        <w:rPr>
          <w:rFonts w:ascii="Arial" w:hAnsi="Arial" w:cs="Arial"/>
        </w:rPr>
      </w:pPr>
    </w:p>
    <w:p w14:paraId="20F5082C" w14:textId="064F5813" w:rsidR="006253B9" w:rsidRPr="00F15C89" w:rsidRDefault="00032F60" w:rsidP="008138CC">
      <w:pPr>
        <w:spacing w:after="0" w:line="240" w:lineRule="auto"/>
        <w:ind w:firstLine="360"/>
        <w:jc w:val="both"/>
        <w:rPr>
          <w:rFonts w:ascii="Arial" w:hAnsi="Arial" w:cs="Arial"/>
        </w:rPr>
      </w:pPr>
      <w:r w:rsidRPr="00F15C89">
        <w:rPr>
          <w:rFonts w:ascii="Arial" w:hAnsi="Arial" w:cs="Arial"/>
        </w:rPr>
        <w:t>Co se týče</w:t>
      </w:r>
      <w:r w:rsidR="006253B9" w:rsidRPr="00F15C89">
        <w:rPr>
          <w:rFonts w:ascii="Arial" w:hAnsi="Arial" w:cs="Arial"/>
        </w:rPr>
        <w:t xml:space="preserve"> v</w:t>
      </w:r>
      <w:r w:rsidRPr="00F15C89">
        <w:rPr>
          <w:rFonts w:ascii="Arial" w:hAnsi="Arial" w:cs="Arial"/>
        </w:rPr>
        <w:t>a</w:t>
      </w:r>
      <w:r w:rsidR="006253B9" w:rsidRPr="00F15C89">
        <w:rPr>
          <w:rFonts w:ascii="Arial" w:hAnsi="Arial" w:cs="Arial"/>
        </w:rPr>
        <w:t>j</w:t>
      </w:r>
      <w:r w:rsidRPr="00F15C89">
        <w:rPr>
          <w:rFonts w:ascii="Arial" w:hAnsi="Arial" w:cs="Arial"/>
        </w:rPr>
        <w:t>e</w:t>
      </w:r>
      <w:r w:rsidR="006253B9" w:rsidRPr="00F15C89">
        <w:rPr>
          <w:rFonts w:ascii="Arial" w:hAnsi="Arial" w:cs="Arial"/>
        </w:rPr>
        <w:t>c ve skořápce ze třetích zemí</w:t>
      </w:r>
      <w:r w:rsidRPr="00F15C89">
        <w:rPr>
          <w:rFonts w:ascii="Arial" w:hAnsi="Arial" w:cs="Arial"/>
        </w:rPr>
        <w:t xml:space="preserve">, </w:t>
      </w:r>
      <w:r w:rsidR="006253B9" w:rsidRPr="00F15C89">
        <w:rPr>
          <w:rFonts w:ascii="Arial" w:hAnsi="Arial" w:cs="Arial"/>
        </w:rPr>
        <w:t xml:space="preserve">každá třetí země, která </w:t>
      </w:r>
      <w:r w:rsidR="00053476" w:rsidRPr="00F15C89">
        <w:rPr>
          <w:rFonts w:ascii="Arial" w:hAnsi="Arial" w:cs="Arial"/>
        </w:rPr>
        <w:t>hodlá</w:t>
      </w:r>
      <w:r w:rsidR="006253B9" w:rsidRPr="00F15C89">
        <w:rPr>
          <w:rFonts w:ascii="Arial" w:hAnsi="Arial" w:cs="Arial"/>
        </w:rPr>
        <w:t xml:space="preserve"> vyvážet potravinářské produkty do EU musí být ze strany Evropské komise schválena (schvalují se systémy dané země, ne konkrétní podniky). Následně jsou v dané zemi schváleny podniky </w:t>
      </w:r>
      <w:r w:rsidR="00D04AAE">
        <w:rPr>
          <w:rFonts w:ascii="Arial" w:hAnsi="Arial" w:cs="Arial"/>
        </w:rPr>
        <w:br/>
      </w:r>
      <w:r w:rsidR="006253B9" w:rsidRPr="00F15C89">
        <w:rPr>
          <w:rFonts w:ascii="Arial" w:hAnsi="Arial" w:cs="Arial"/>
        </w:rPr>
        <w:t>pro vývoz a seznam těchto podniků vede Evropská komise</w:t>
      </w:r>
      <w:r w:rsidR="006253B9" w:rsidRPr="00F15C89">
        <w:rPr>
          <w:rStyle w:val="Znakapoznpodarou"/>
          <w:rFonts w:ascii="Arial" w:hAnsi="Arial" w:cs="Arial"/>
          <w:vertAlign w:val="superscript"/>
        </w:rPr>
        <w:footnoteReference w:id="16"/>
      </w:r>
      <w:r w:rsidR="006253B9" w:rsidRPr="00F15C89">
        <w:rPr>
          <w:rFonts w:ascii="Arial" w:hAnsi="Arial" w:cs="Arial"/>
        </w:rPr>
        <w:t>. Pokud v případě produkce vajec neodpovídá způsob chovu plně požadavkům právních předpisů EU, jsou označeny „způsob chovu neodpovídá normě EU“. Nicméně podle informací Ministerstva zemědělství je většina vajec ze třetích zemí</w:t>
      </w:r>
      <w:r w:rsidR="006253B9" w:rsidRPr="00F15C89">
        <w:rPr>
          <w:rStyle w:val="Znakapoznpodarou"/>
          <w:rFonts w:ascii="Arial" w:hAnsi="Arial" w:cs="Arial"/>
          <w:vertAlign w:val="superscript"/>
        </w:rPr>
        <w:footnoteReference w:id="17"/>
      </w:r>
      <w:r w:rsidR="006253B9" w:rsidRPr="00F15C89">
        <w:rPr>
          <w:rFonts w:ascii="Arial" w:hAnsi="Arial" w:cs="Arial"/>
        </w:rPr>
        <w:t xml:space="preserve"> dovážena do ČR za účelem zpracování a tyto standardy se tak na ně nevztahují.</w:t>
      </w:r>
    </w:p>
    <w:p w14:paraId="245E16D0" w14:textId="77777777" w:rsidR="00F13BB9" w:rsidRPr="00F15C89" w:rsidRDefault="00F13BB9" w:rsidP="00F35517">
      <w:pPr>
        <w:spacing w:after="0" w:line="240" w:lineRule="auto"/>
        <w:jc w:val="both"/>
        <w:rPr>
          <w:rFonts w:ascii="Arial" w:hAnsi="Arial" w:cs="Arial"/>
        </w:rPr>
      </w:pPr>
    </w:p>
    <w:p w14:paraId="489DF457" w14:textId="77777777" w:rsidR="00F13BB9" w:rsidRPr="00F15C89" w:rsidRDefault="00F13BB9" w:rsidP="00F35517">
      <w:pPr>
        <w:spacing w:after="0" w:line="240" w:lineRule="auto"/>
        <w:jc w:val="both"/>
        <w:rPr>
          <w:rFonts w:ascii="Arial" w:hAnsi="Arial" w:cs="Arial"/>
        </w:rPr>
      </w:pPr>
    </w:p>
    <w:p w14:paraId="60975831" w14:textId="77777777" w:rsidR="00AE5A0F" w:rsidRPr="00F15C89" w:rsidRDefault="00AE5A0F">
      <w:pPr>
        <w:rPr>
          <w:rStyle w:val="normaltextrun"/>
          <w:rFonts w:ascii="Arial" w:hAnsi="Arial" w:cs="Arial"/>
          <w:b/>
          <w:bCs/>
          <w:color w:val="000000"/>
          <w:shd w:val="clear" w:color="auto" w:fill="FFFFFF"/>
        </w:rPr>
      </w:pPr>
      <w:r w:rsidRPr="00F15C89">
        <w:rPr>
          <w:rStyle w:val="normaltextrun"/>
          <w:rFonts w:ascii="Arial" w:hAnsi="Arial" w:cs="Arial"/>
          <w:b/>
          <w:bCs/>
          <w:color w:val="000000"/>
          <w:shd w:val="clear" w:color="auto" w:fill="FFFFFF"/>
        </w:rPr>
        <w:br w:type="page"/>
      </w:r>
    </w:p>
    <w:p w14:paraId="6EB39215" w14:textId="27CF8E6B" w:rsidR="00F13BB9" w:rsidRPr="00F15C89" w:rsidRDefault="00F13BB9" w:rsidP="002A241F">
      <w:pPr>
        <w:pStyle w:val="Nadpis1"/>
        <w:rPr>
          <w:rStyle w:val="eop"/>
          <w:rFonts w:cs="Arial"/>
          <w:b w:val="0"/>
          <w:color w:val="000000"/>
          <w:sz w:val="22"/>
          <w:szCs w:val="22"/>
          <w:shd w:val="clear" w:color="auto" w:fill="FFFFFF"/>
        </w:rPr>
      </w:pPr>
      <w:bookmarkStart w:id="7" w:name="_Toc197677979"/>
      <w:bookmarkStart w:id="8" w:name="_Toc198290966"/>
      <w:r w:rsidRPr="00F15C89">
        <w:rPr>
          <w:rStyle w:val="normaltextrun"/>
          <w:rFonts w:cs="Arial"/>
          <w:color w:val="000000"/>
          <w:sz w:val="22"/>
          <w:szCs w:val="22"/>
          <w:shd w:val="clear" w:color="auto" w:fill="FFFFFF"/>
        </w:rPr>
        <w:lastRenderedPageBreak/>
        <w:t xml:space="preserve">Minimální standardy </w:t>
      </w:r>
      <w:r w:rsidRPr="00F15C89">
        <w:rPr>
          <w:rStyle w:val="eop"/>
          <w:rFonts w:cs="Arial"/>
          <w:color w:val="000000"/>
          <w:sz w:val="22"/>
          <w:szCs w:val="22"/>
          <w:shd w:val="clear" w:color="auto" w:fill="FFFFFF"/>
        </w:rPr>
        <w:t xml:space="preserve">OVZ </w:t>
      </w:r>
      <w:r w:rsidRPr="00F15C89">
        <w:rPr>
          <w:rStyle w:val="normaltextrun"/>
          <w:rFonts w:cs="Arial"/>
          <w:color w:val="000000"/>
          <w:sz w:val="22"/>
          <w:szCs w:val="22"/>
          <w:shd w:val="clear" w:color="auto" w:fill="FFFFFF"/>
        </w:rPr>
        <w:t>pro zajištění služeb fyzické ostrahy administrativních budov</w:t>
      </w:r>
      <w:bookmarkEnd w:id="7"/>
      <w:bookmarkEnd w:id="8"/>
      <w:r w:rsidRPr="00F15C89">
        <w:rPr>
          <w:rStyle w:val="eop"/>
          <w:rFonts w:cs="Arial"/>
          <w:b w:val="0"/>
          <w:bCs/>
          <w:color w:val="000000"/>
          <w:sz w:val="22"/>
          <w:szCs w:val="22"/>
          <w:shd w:val="clear" w:color="auto" w:fill="FFFFFF"/>
        </w:rPr>
        <w:t> </w:t>
      </w:r>
    </w:p>
    <w:p w14:paraId="70851DC9" w14:textId="77777777" w:rsidR="002A241F" w:rsidRPr="00F15C89" w:rsidRDefault="002A241F" w:rsidP="002A241F">
      <w:pPr>
        <w:pStyle w:val="Titulek"/>
        <w:spacing w:after="0"/>
        <w:jc w:val="both"/>
        <w:rPr>
          <w:rFonts w:ascii="Arial" w:hAnsi="Arial" w:cs="Arial"/>
          <w:sz w:val="22"/>
          <w:szCs w:val="22"/>
        </w:rPr>
      </w:pPr>
      <w:bookmarkStart w:id="9" w:name="_Toc194053150"/>
    </w:p>
    <w:p w14:paraId="36B7C03A" w14:textId="047DFDFA" w:rsidR="007F5D5E" w:rsidRPr="00F15C89" w:rsidRDefault="003141FA" w:rsidP="002A241F">
      <w:pPr>
        <w:pStyle w:val="Titulek"/>
        <w:spacing w:after="0"/>
        <w:jc w:val="both"/>
        <w:rPr>
          <w:rStyle w:val="eop"/>
          <w:rFonts w:ascii="Arial" w:hAnsi="Arial" w:cs="Arial"/>
          <w:sz w:val="22"/>
          <w:szCs w:val="22"/>
        </w:rPr>
      </w:pPr>
      <w:r w:rsidRPr="00F15C89">
        <w:rPr>
          <w:rFonts w:ascii="Arial" w:hAnsi="Arial" w:cs="Arial"/>
          <w:sz w:val="22"/>
          <w:szCs w:val="22"/>
        </w:rPr>
        <w:t>Tabulka</w:t>
      </w:r>
      <w:r w:rsidR="00721D93" w:rsidRPr="00F15C89">
        <w:rPr>
          <w:rFonts w:ascii="Arial" w:hAnsi="Arial" w:cs="Arial"/>
          <w:sz w:val="22"/>
          <w:szCs w:val="22"/>
        </w:rPr>
        <w:t xml:space="preserve"> </w:t>
      </w:r>
      <w:r w:rsidR="00721D93" w:rsidRPr="00F15C89">
        <w:rPr>
          <w:rFonts w:ascii="Arial" w:hAnsi="Arial" w:cs="Arial"/>
          <w:sz w:val="22"/>
          <w:szCs w:val="22"/>
        </w:rPr>
        <w:fldChar w:fldCharType="begin"/>
      </w:r>
      <w:r w:rsidR="00721D93" w:rsidRPr="00F15C89">
        <w:rPr>
          <w:rFonts w:ascii="Arial" w:hAnsi="Arial" w:cs="Arial"/>
          <w:sz w:val="22"/>
          <w:szCs w:val="22"/>
        </w:rPr>
        <w:instrText xml:space="preserve"> SEQ Tabulka \* ARABIC </w:instrText>
      </w:r>
      <w:r w:rsidR="00721D93" w:rsidRPr="00F15C89">
        <w:rPr>
          <w:rFonts w:ascii="Arial" w:hAnsi="Arial" w:cs="Arial"/>
          <w:sz w:val="22"/>
          <w:szCs w:val="22"/>
        </w:rPr>
        <w:fldChar w:fldCharType="separate"/>
      </w:r>
      <w:r w:rsidR="00721D93" w:rsidRPr="00F15C89">
        <w:rPr>
          <w:rFonts w:ascii="Arial" w:hAnsi="Arial" w:cs="Arial"/>
          <w:sz w:val="22"/>
          <w:szCs w:val="22"/>
        </w:rPr>
        <w:t>4</w:t>
      </w:r>
      <w:r w:rsidR="00721D93" w:rsidRPr="00F15C89">
        <w:rPr>
          <w:rFonts w:ascii="Arial" w:hAnsi="Arial" w:cs="Arial"/>
          <w:sz w:val="22"/>
          <w:szCs w:val="22"/>
        </w:rPr>
        <w:fldChar w:fldCharType="end"/>
      </w:r>
      <w:r w:rsidR="00841D6A" w:rsidRPr="00F15C89">
        <w:rPr>
          <w:rFonts w:ascii="Arial" w:hAnsi="Arial" w:cs="Arial"/>
          <w:sz w:val="22"/>
          <w:szCs w:val="22"/>
        </w:rPr>
        <w:t xml:space="preserve"> </w:t>
      </w:r>
      <w:r w:rsidR="00827524" w:rsidRPr="00F15C89">
        <w:rPr>
          <w:rFonts w:ascii="Arial" w:hAnsi="Arial" w:cs="Arial"/>
          <w:sz w:val="22"/>
          <w:szCs w:val="22"/>
        </w:rPr>
        <w:t xml:space="preserve">Finanční objemy VZ </w:t>
      </w:r>
      <w:r w:rsidR="00881256" w:rsidRPr="00F15C89">
        <w:rPr>
          <w:rFonts w:ascii="Arial" w:hAnsi="Arial" w:cs="Arial"/>
          <w:sz w:val="22"/>
          <w:szCs w:val="22"/>
        </w:rPr>
        <w:t>pro zajištění služeb fyzické ostrahy administrativních budov</w:t>
      </w:r>
      <w:r w:rsidR="00827524" w:rsidRPr="00F15C89">
        <w:rPr>
          <w:rFonts w:ascii="Arial" w:hAnsi="Arial" w:cs="Arial"/>
          <w:sz w:val="22"/>
          <w:szCs w:val="22"/>
        </w:rPr>
        <w:t xml:space="preserve"> </w:t>
      </w:r>
      <w:bookmarkEnd w:id="9"/>
    </w:p>
    <w:tbl>
      <w:tblPr>
        <w:tblW w:w="8784" w:type="dxa"/>
        <w:tblCellMar>
          <w:top w:w="15" w:type="dxa"/>
          <w:left w:w="70" w:type="dxa"/>
          <w:bottom w:w="15" w:type="dxa"/>
          <w:right w:w="70" w:type="dxa"/>
        </w:tblCellMar>
        <w:tblLook w:val="04A0" w:firstRow="1" w:lastRow="0" w:firstColumn="1" w:lastColumn="0" w:noHBand="0" w:noVBand="1"/>
      </w:tblPr>
      <w:tblGrid>
        <w:gridCol w:w="1413"/>
        <w:gridCol w:w="1984"/>
        <w:gridCol w:w="2552"/>
        <w:gridCol w:w="2835"/>
      </w:tblGrid>
      <w:tr w:rsidR="00F13BB9" w:rsidRPr="00F15C89" w14:paraId="78618645" w14:textId="77777777" w:rsidTr="00E60ACC">
        <w:trPr>
          <w:trHeight w:val="300"/>
        </w:trPr>
        <w:tc>
          <w:tcPr>
            <w:tcW w:w="1413" w:type="dxa"/>
            <w:tcBorders>
              <w:top w:val="single" w:sz="4" w:space="0" w:color="auto"/>
              <w:left w:val="single" w:sz="4" w:space="0" w:color="auto"/>
              <w:bottom w:val="single" w:sz="4" w:space="0" w:color="auto"/>
              <w:right w:val="single" w:sz="4" w:space="0" w:color="auto"/>
            </w:tcBorders>
            <w:noWrap/>
          </w:tcPr>
          <w:p w14:paraId="2117DA22" w14:textId="04677E8B" w:rsidR="00F13BB9" w:rsidRPr="00F15C89" w:rsidRDefault="00B77461"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CPV kód</w:t>
            </w:r>
            <w:r w:rsidR="0042474C" w:rsidRPr="00F15C89">
              <w:rPr>
                <w:rStyle w:val="Znakapoznpodarou"/>
                <w:rFonts w:ascii="Arial" w:eastAsia="Times New Roman" w:hAnsi="Arial" w:cs="Arial"/>
                <w:color w:val="000000"/>
                <w:vertAlign w:val="superscript"/>
                <w:lang w:eastAsia="cs-CZ"/>
              </w:rPr>
              <w:footnoteReference w:id="18"/>
            </w:r>
          </w:p>
        </w:tc>
        <w:tc>
          <w:tcPr>
            <w:tcW w:w="1984" w:type="dxa"/>
            <w:tcBorders>
              <w:top w:val="single" w:sz="4" w:space="0" w:color="auto"/>
              <w:left w:val="single" w:sz="4" w:space="0" w:color="auto"/>
              <w:bottom w:val="single" w:sz="4" w:space="0" w:color="auto"/>
              <w:right w:val="single" w:sz="4" w:space="0" w:color="auto"/>
            </w:tcBorders>
            <w:noWrap/>
          </w:tcPr>
          <w:p w14:paraId="2B18119C" w14:textId="79393E53" w:rsidR="00F13BB9" w:rsidRPr="00F15C89" w:rsidRDefault="007F2E09"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Položka</w:t>
            </w:r>
          </w:p>
        </w:tc>
        <w:tc>
          <w:tcPr>
            <w:tcW w:w="2552" w:type="dxa"/>
            <w:tcBorders>
              <w:top w:val="single" w:sz="4" w:space="0" w:color="auto"/>
              <w:left w:val="single" w:sz="4" w:space="0" w:color="auto"/>
              <w:bottom w:val="single" w:sz="4" w:space="0" w:color="auto"/>
              <w:right w:val="single" w:sz="4" w:space="0" w:color="auto"/>
            </w:tcBorders>
            <w:noWrap/>
          </w:tcPr>
          <w:p w14:paraId="55685D8B" w14:textId="1493CFE5" w:rsidR="00F13BB9" w:rsidRPr="00F15C89" w:rsidRDefault="000843ED"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 xml:space="preserve">Objem VZ za rok </w:t>
            </w:r>
            <w:r w:rsidR="00F13BB9" w:rsidRPr="00F15C89">
              <w:rPr>
                <w:rFonts w:ascii="Arial" w:eastAsia="Times New Roman" w:hAnsi="Arial" w:cs="Arial"/>
                <w:color w:val="000000"/>
                <w:lang w:eastAsia="cs-CZ"/>
              </w:rPr>
              <w:t>2022</w:t>
            </w:r>
          </w:p>
        </w:tc>
        <w:tc>
          <w:tcPr>
            <w:tcW w:w="2835" w:type="dxa"/>
            <w:tcBorders>
              <w:top w:val="single" w:sz="4" w:space="0" w:color="auto"/>
              <w:left w:val="single" w:sz="4" w:space="0" w:color="auto"/>
              <w:bottom w:val="single" w:sz="4" w:space="0" w:color="auto"/>
              <w:right w:val="single" w:sz="4" w:space="0" w:color="auto"/>
            </w:tcBorders>
            <w:noWrap/>
          </w:tcPr>
          <w:p w14:paraId="1FD98F77" w14:textId="44847913" w:rsidR="00F13BB9" w:rsidRPr="00F15C89" w:rsidRDefault="000843ED"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Objem VZ za rok</w:t>
            </w:r>
            <w:r w:rsidR="00E60ACC">
              <w:rPr>
                <w:rFonts w:ascii="Arial" w:eastAsia="Times New Roman" w:hAnsi="Arial" w:cs="Arial"/>
                <w:color w:val="000000"/>
                <w:lang w:eastAsia="cs-CZ"/>
              </w:rPr>
              <w:t xml:space="preserve"> </w:t>
            </w:r>
            <w:r w:rsidR="00F13BB9" w:rsidRPr="00F15C89">
              <w:rPr>
                <w:rFonts w:ascii="Arial" w:eastAsia="Times New Roman" w:hAnsi="Arial" w:cs="Arial"/>
                <w:color w:val="000000"/>
                <w:lang w:eastAsia="cs-CZ"/>
              </w:rPr>
              <w:t>2023</w:t>
            </w:r>
          </w:p>
        </w:tc>
      </w:tr>
      <w:tr w:rsidR="00F13BB9" w:rsidRPr="00F15C89" w14:paraId="73F2DA11" w14:textId="77777777" w:rsidTr="00E60ACC">
        <w:trPr>
          <w:trHeight w:val="300"/>
        </w:trPr>
        <w:tc>
          <w:tcPr>
            <w:tcW w:w="1413" w:type="dxa"/>
            <w:tcBorders>
              <w:top w:val="single" w:sz="4" w:space="0" w:color="auto"/>
              <w:left w:val="single" w:sz="4" w:space="0" w:color="auto"/>
              <w:bottom w:val="single" w:sz="4" w:space="0" w:color="auto"/>
              <w:right w:val="single" w:sz="4" w:space="0" w:color="auto"/>
            </w:tcBorders>
            <w:noWrap/>
            <w:hideMark/>
          </w:tcPr>
          <w:p w14:paraId="6486A1A5" w14:textId="1F13CBA9" w:rsidR="00F13BB9" w:rsidRPr="00F15C89" w:rsidRDefault="00F13BB9"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79710000-4</w:t>
            </w:r>
          </w:p>
        </w:tc>
        <w:tc>
          <w:tcPr>
            <w:tcW w:w="1984" w:type="dxa"/>
            <w:tcBorders>
              <w:top w:val="single" w:sz="4" w:space="0" w:color="auto"/>
              <w:left w:val="single" w:sz="4" w:space="0" w:color="auto"/>
              <w:bottom w:val="single" w:sz="4" w:space="0" w:color="auto"/>
              <w:right w:val="single" w:sz="4" w:space="0" w:color="auto"/>
            </w:tcBorders>
            <w:noWrap/>
            <w:hideMark/>
          </w:tcPr>
          <w:p w14:paraId="1BF41A99" w14:textId="77777777" w:rsidR="00F13BB9" w:rsidRPr="00F15C89" w:rsidRDefault="00F13BB9"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 xml:space="preserve">Bezpečnostní služby </w:t>
            </w:r>
          </w:p>
        </w:tc>
        <w:tc>
          <w:tcPr>
            <w:tcW w:w="2552" w:type="dxa"/>
            <w:tcBorders>
              <w:top w:val="single" w:sz="4" w:space="0" w:color="auto"/>
              <w:left w:val="single" w:sz="4" w:space="0" w:color="auto"/>
              <w:bottom w:val="single" w:sz="4" w:space="0" w:color="auto"/>
              <w:right w:val="single" w:sz="4" w:space="0" w:color="auto"/>
            </w:tcBorders>
            <w:noWrap/>
            <w:hideMark/>
          </w:tcPr>
          <w:p w14:paraId="7EAD2962" w14:textId="3699B518" w:rsidR="00F13BB9" w:rsidRPr="00F15C89" w:rsidRDefault="00F13BB9"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 xml:space="preserve"> 1</w:t>
            </w:r>
            <w:r w:rsidR="009325A9" w:rsidRPr="00F15C89">
              <w:rPr>
                <w:rFonts w:ascii="Arial" w:eastAsia="Times New Roman" w:hAnsi="Arial" w:cs="Arial"/>
                <w:color w:val="000000"/>
                <w:lang w:eastAsia="cs-CZ"/>
              </w:rPr>
              <w:t>,</w:t>
            </w:r>
            <w:r w:rsidRPr="00F15C89">
              <w:rPr>
                <w:rFonts w:ascii="Arial" w:eastAsia="Times New Roman" w:hAnsi="Arial" w:cs="Arial"/>
                <w:color w:val="000000"/>
                <w:lang w:eastAsia="cs-CZ"/>
              </w:rPr>
              <w:t>26</w:t>
            </w:r>
            <w:r w:rsidR="009325A9" w:rsidRPr="00F15C89">
              <w:rPr>
                <w:rFonts w:ascii="Arial" w:eastAsia="Times New Roman" w:hAnsi="Arial" w:cs="Arial"/>
                <w:color w:val="000000"/>
                <w:lang w:eastAsia="cs-CZ"/>
              </w:rPr>
              <w:t xml:space="preserve"> mld.</w:t>
            </w:r>
            <w:r w:rsidRPr="00F15C89">
              <w:rPr>
                <w:rFonts w:ascii="Arial" w:eastAsia="Times New Roman" w:hAnsi="Arial" w:cs="Arial"/>
                <w:color w:val="000000"/>
                <w:lang w:eastAsia="cs-CZ"/>
              </w:rPr>
              <w:t xml:space="preserve"> </w:t>
            </w:r>
            <w:r w:rsidR="000800E5" w:rsidRPr="00F15C89">
              <w:rPr>
                <w:rFonts w:ascii="Arial" w:eastAsia="Times New Roman" w:hAnsi="Arial" w:cs="Arial"/>
                <w:color w:val="000000"/>
                <w:lang w:eastAsia="cs-CZ"/>
              </w:rPr>
              <w:t>Kč</w:t>
            </w:r>
            <w:r w:rsidRPr="00F15C89" w:rsidDel="000800E5">
              <w:rPr>
                <w:rFonts w:ascii="Arial" w:eastAsia="Times New Roman" w:hAnsi="Arial" w:cs="Arial"/>
                <w:color w:val="000000"/>
                <w:lang w:eastAsia="cs-CZ"/>
              </w:rPr>
              <w:t xml:space="preserve"> </w:t>
            </w:r>
          </w:p>
        </w:tc>
        <w:tc>
          <w:tcPr>
            <w:tcW w:w="2835" w:type="dxa"/>
            <w:tcBorders>
              <w:top w:val="single" w:sz="4" w:space="0" w:color="auto"/>
              <w:left w:val="single" w:sz="4" w:space="0" w:color="auto"/>
              <w:bottom w:val="single" w:sz="4" w:space="0" w:color="auto"/>
              <w:right w:val="single" w:sz="4" w:space="0" w:color="auto"/>
            </w:tcBorders>
            <w:noWrap/>
            <w:hideMark/>
          </w:tcPr>
          <w:p w14:paraId="54199195" w14:textId="41C51EE1" w:rsidR="00F13BB9" w:rsidRPr="00F15C89" w:rsidRDefault="00F13BB9"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 xml:space="preserve"> </w:t>
            </w:r>
            <w:r w:rsidR="009325A9" w:rsidRPr="00F15C89">
              <w:rPr>
                <w:rFonts w:ascii="Arial" w:eastAsia="Times New Roman" w:hAnsi="Arial" w:cs="Arial"/>
                <w:color w:val="000000"/>
                <w:lang w:eastAsia="cs-CZ"/>
              </w:rPr>
              <w:t>0,</w:t>
            </w:r>
            <w:r w:rsidRPr="00F15C89">
              <w:rPr>
                <w:rFonts w:ascii="Arial" w:eastAsia="Times New Roman" w:hAnsi="Arial" w:cs="Arial"/>
                <w:color w:val="000000"/>
                <w:lang w:eastAsia="cs-CZ"/>
              </w:rPr>
              <w:t>9</w:t>
            </w:r>
            <w:r w:rsidR="009325A9" w:rsidRPr="00F15C89">
              <w:rPr>
                <w:rFonts w:ascii="Arial" w:eastAsia="Times New Roman" w:hAnsi="Arial" w:cs="Arial"/>
                <w:color w:val="000000"/>
                <w:lang w:eastAsia="cs-CZ"/>
              </w:rPr>
              <w:t xml:space="preserve"> mld.</w:t>
            </w:r>
            <w:r w:rsidRPr="00F15C89">
              <w:rPr>
                <w:rFonts w:ascii="Arial" w:eastAsia="Times New Roman" w:hAnsi="Arial" w:cs="Arial"/>
                <w:color w:val="000000"/>
                <w:lang w:eastAsia="cs-CZ"/>
              </w:rPr>
              <w:t xml:space="preserve"> </w:t>
            </w:r>
            <w:r w:rsidR="000800E5" w:rsidRPr="00F15C89">
              <w:rPr>
                <w:rFonts w:ascii="Arial" w:eastAsia="Times New Roman" w:hAnsi="Arial" w:cs="Arial"/>
                <w:color w:val="000000"/>
                <w:lang w:eastAsia="cs-CZ"/>
              </w:rPr>
              <w:t>Kč</w:t>
            </w:r>
            <w:r w:rsidRPr="00F15C89" w:rsidDel="000800E5">
              <w:rPr>
                <w:rFonts w:ascii="Arial" w:eastAsia="Times New Roman" w:hAnsi="Arial" w:cs="Arial"/>
                <w:color w:val="000000"/>
                <w:lang w:eastAsia="cs-CZ"/>
              </w:rPr>
              <w:t xml:space="preserve"> </w:t>
            </w:r>
          </w:p>
        </w:tc>
      </w:tr>
      <w:tr w:rsidR="00F13BB9" w:rsidRPr="00F15C89" w14:paraId="7B949758" w14:textId="77777777" w:rsidTr="00E60ACC">
        <w:trPr>
          <w:trHeight w:val="300"/>
        </w:trPr>
        <w:tc>
          <w:tcPr>
            <w:tcW w:w="1413" w:type="dxa"/>
            <w:tcBorders>
              <w:top w:val="single" w:sz="4" w:space="0" w:color="auto"/>
              <w:left w:val="single" w:sz="4" w:space="0" w:color="auto"/>
              <w:bottom w:val="single" w:sz="4" w:space="0" w:color="auto"/>
              <w:right w:val="single" w:sz="4" w:space="0" w:color="auto"/>
            </w:tcBorders>
            <w:noWrap/>
            <w:hideMark/>
          </w:tcPr>
          <w:p w14:paraId="36E69B0E" w14:textId="3EC3EEC7" w:rsidR="00F13BB9" w:rsidRPr="00F15C89" w:rsidRDefault="00F13BB9"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79713000-5</w:t>
            </w:r>
          </w:p>
        </w:tc>
        <w:tc>
          <w:tcPr>
            <w:tcW w:w="1984" w:type="dxa"/>
            <w:tcBorders>
              <w:top w:val="single" w:sz="4" w:space="0" w:color="auto"/>
              <w:left w:val="single" w:sz="4" w:space="0" w:color="auto"/>
              <w:bottom w:val="single" w:sz="4" w:space="0" w:color="auto"/>
              <w:right w:val="single" w:sz="4" w:space="0" w:color="auto"/>
            </w:tcBorders>
            <w:noWrap/>
            <w:hideMark/>
          </w:tcPr>
          <w:p w14:paraId="47D73FC0" w14:textId="77777777" w:rsidR="00F13BB9" w:rsidRPr="00F15C89" w:rsidRDefault="00F13BB9"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 xml:space="preserve">Strážní služby </w:t>
            </w:r>
          </w:p>
        </w:tc>
        <w:tc>
          <w:tcPr>
            <w:tcW w:w="2552" w:type="dxa"/>
            <w:tcBorders>
              <w:top w:val="single" w:sz="4" w:space="0" w:color="auto"/>
              <w:left w:val="single" w:sz="4" w:space="0" w:color="auto"/>
              <w:bottom w:val="single" w:sz="4" w:space="0" w:color="auto"/>
              <w:right w:val="single" w:sz="4" w:space="0" w:color="auto"/>
            </w:tcBorders>
            <w:noWrap/>
            <w:hideMark/>
          </w:tcPr>
          <w:p w14:paraId="27B59686" w14:textId="53ED9FC2" w:rsidR="00F13BB9" w:rsidRPr="00F15C89" w:rsidRDefault="00F13BB9"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 xml:space="preserve"> </w:t>
            </w:r>
            <w:r w:rsidR="00B15B4A" w:rsidRPr="00F15C89">
              <w:rPr>
                <w:rFonts w:ascii="Arial" w:eastAsia="Times New Roman" w:hAnsi="Arial" w:cs="Arial"/>
                <w:color w:val="000000"/>
                <w:lang w:eastAsia="cs-CZ"/>
              </w:rPr>
              <w:t>0,1</w:t>
            </w:r>
            <w:r w:rsidRPr="00F15C89">
              <w:rPr>
                <w:rFonts w:ascii="Arial" w:eastAsia="Times New Roman" w:hAnsi="Arial" w:cs="Arial"/>
                <w:color w:val="000000"/>
                <w:lang w:eastAsia="cs-CZ"/>
              </w:rPr>
              <w:t xml:space="preserve"> </w:t>
            </w:r>
            <w:r w:rsidR="00C328B9" w:rsidRPr="00F15C89">
              <w:rPr>
                <w:rFonts w:ascii="Arial" w:eastAsia="Times New Roman" w:hAnsi="Arial" w:cs="Arial"/>
                <w:color w:val="000000"/>
                <w:lang w:eastAsia="cs-CZ"/>
              </w:rPr>
              <w:t xml:space="preserve">mld. </w:t>
            </w:r>
            <w:r w:rsidR="000800E5" w:rsidRPr="00F15C89">
              <w:rPr>
                <w:rFonts w:ascii="Arial" w:eastAsia="Times New Roman" w:hAnsi="Arial" w:cs="Arial"/>
                <w:color w:val="000000"/>
                <w:lang w:eastAsia="cs-CZ"/>
              </w:rPr>
              <w:t>Kč</w:t>
            </w:r>
            <w:r w:rsidRPr="00F15C89" w:rsidDel="000800E5">
              <w:rPr>
                <w:rFonts w:ascii="Arial" w:eastAsia="Times New Roman" w:hAnsi="Arial" w:cs="Arial"/>
                <w:color w:val="000000"/>
                <w:lang w:eastAsia="cs-CZ"/>
              </w:rPr>
              <w:t xml:space="preserve"> </w:t>
            </w:r>
          </w:p>
        </w:tc>
        <w:tc>
          <w:tcPr>
            <w:tcW w:w="2835" w:type="dxa"/>
            <w:tcBorders>
              <w:top w:val="single" w:sz="4" w:space="0" w:color="auto"/>
              <w:left w:val="single" w:sz="4" w:space="0" w:color="auto"/>
              <w:bottom w:val="single" w:sz="4" w:space="0" w:color="auto"/>
              <w:right w:val="single" w:sz="4" w:space="0" w:color="auto"/>
            </w:tcBorders>
            <w:noWrap/>
            <w:hideMark/>
          </w:tcPr>
          <w:p w14:paraId="7C5C4A20" w14:textId="423E6A51" w:rsidR="00F13BB9" w:rsidRPr="00F15C89" w:rsidRDefault="00C328B9" w:rsidP="00C328B9">
            <w:pPr>
              <w:spacing w:after="0" w:line="240" w:lineRule="auto"/>
              <w:ind w:left="50"/>
              <w:jc w:val="both"/>
              <w:rPr>
                <w:rFonts w:ascii="Arial" w:eastAsia="Times New Roman" w:hAnsi="Arial" w:cs="Arial"/>
                <w:color w:val="000000"/>
                <w:lang w:eastAsia="cs-CZ"/>
              </w:rPr>
            </w:pPr>
            <w:r w:rsidRPr="00F15C89">
              <w:rPr>
                <w:rFonts w:ascii="Arial" w:eastAsia="Times New Roman" w:hAnsi="Arial" w:cs="Arial"/>
                <w:color w:val="000000"/>
                <w:lang w:eastAsia="cs-CZ"/>
              </w:rPr>
              <w:t>0,85 mld.</w:t>
            </w:r>
            <w:r w:rsidR="00F13BB9" w:rsidRPr="00F15C89">
              <w:rPr>
                <w:rFonts w:ascii="Arial" w:eastAsia="Times New Roman" w:hAnsi="Arial" w:cs="Arial"/>
                <w:color w:val="000000"/>
                <w:lang w:eastAsia="cs-CZ"/>
              </w:rPr>
              <w:t xml:space="preserve"> </w:t>
            </w:r>
            <w:r w:rsidR="000800E5" w:rsidRPr="00F15C89">
              <w:rPr>
                <w:rFonts w:ascii="Arial" w:eastAsia="Times New Roman" w:hAnsi="Arial" w:cs="Arial"/>
                <w:color w:val="000000"/>
                <w:lang w:eastAsia="cs-CZ"/>
              </w:rPr>
              <w:t>Kč</w:t>
            </w:r>
            <w:r w:rsidR="00F13BB9" w:rsidRPr="00F15C89" w:rsidDel="000800E5">
              <w:rPr>
                <w:rFonts w:ascii="Arial" w:eastAsia="Times New Roman" w:hAnsi="Arial" w:cs="Arial"/>
                <w:color w:val="000000"/>
                <w:lang w:eastAsia="cs-CZ"/>
              </w:rPr>
              <w:t xml:space="preserve"> </w:t>
            </w:r>
          </w:p>
        </w:tc>
      </w:tr>
    </w:tbl>
    <w:p w14:paraId="0C6B9B5B" w14:textId="77777777" w:rsidR="00BF23DD" w:rsidRPr="00F15C89" w:rsidRDefault="00BF23DD" w:rsidP="00F35517">
      <w:pPr>
        <w:jc w:val="both"/>
        <w:rPr>
          <w:rFonts w:ascii="Arial" w:hAnsi="Arial" w:cs="Arial"/>
          <w:i/>
          <w:iCs/>
        </w:rPr>
      </w:pPr>
      <w:r w:rsidRPr="00F15C89">
        <w:rPr>
          <w:rFonts w:ascii="Arial" w:hAnsi="Arial" w:cs="Arial"/>
          <w:i/>
          <w:iCs/>
        </w:rPr>
        <w:t>Zdroj: Věstník veřejných zakázek</w:t>
      </w:r>
    </w:p>
    <w:p w14:paraId="1366F96C" w14:textId="43E4B692" w:rsidR="008744EB" w:rsidRDefault="008744EB" w:rsidP="00D1448B">
      <w:pPr>
        <w:pStyle w:val="Odstavecseseznamem"/>
        <w:numPr>
          <w:ilvl w:val="0"/>
          <w:numId w:val="38"/>
        </w:numPr>
        <w:spacing w:after="0" w:line="240" w:lineRule="auto"/>
        <w:ind w:left="284" w:hanging="284"/>
        <w:jc w:val="both"/>
        <w:rPr>
          <w:rFonts w:ascii="Arial" w:hAnsi="Arial" w:cs="Arial"/>
        </w:rPr>
      </w:pPr>
      <w:r w:rsidRPr="00F15C89">
        <w:rPr>
          <w:rFonts w:ascii="Arial" w:hAnsi="Arial" w:cs="Arial"/>
        </w:rPr>
        <w:t xml:space="preserve">Stanovení ceny v zadávací dokumentaci, která bude považována za mimořádně nízkou nabídkovou cenu </w:t>
      </w:r>
      <w:r w:rsidR="005F08D0" w:rsidRPr="00F15C89">
        <w:rPr>
          <w:rFonts w:ascii="Arial" w:hAnsi="Arial" w:cs="Arial"/>
        </w:rPr>
        <w:t>a</w:t>
      </w:r>
    </w:p>
    <w:p w14:paraId="707B6891" w14:textId="3EC0238E" w:rsidR="008744EB" w:rsidRPr="00F15C89" w:rsidRDefault="008744EB" w:rsidP="00D1448B">
      <w:pPr>
        <w:pStyle w:val="Odstavecseseznamem"/>
        <w:numPr>
          <w:ilvl w:val="0"/>
          <w:numId w:val="38"/>
        </w:numPr>
        <w:spacing w:after="0" w:line="240" w:lineRule="auto"/>
        <w:ind w:left="284" w:hanging="284"/>
        <w:jc w:val="both"/>
        <w:rPr>
          <w:rFonts w:ascii="Arial" w:hAnsi="Arial" w:cs="Arial"/>
        </w:rPr>
      </w:pPr>
      <w:r w:rsidRPr="00F15C89">
        <w:rPr>
          <w:rFonts w:ascii="Arial" w:hAnsi="Arial" w:cs="Arial"/>
        </w:rPr>
        <w:t>Údaje o způsobu zaměstnávání týmu bezpečnostních pracovníků</w:t>
      </w:r>
    </w:p>
    <w:p w14:paraId="7EF14C1C" w14:textId="1271A605" w:rsidR="00A1515B" w:rsidRPr="00F15C89" w:rsidRDefault="00F13BB9" w:rsidP="008138CC">
      <w:pPr>
        <w:spacing w:after="0" w:line="240" w:lineRule="auto"/>
        <w:ind w:firstLine="426"/>
        <w:jc w:val="both"/>
        <w:rPr>
          <w:rStyle w:val="eop"/>
          <w:rFonts w:ascii="Arial" w:hAnsi="Arial" w:cs="Arial"/>
        </w:rPr>
      </w:pPr>
      <w:r w:rsidRPr="00F15C89">
        <w:rPr>
          <w:rStyle w:val="eop"/>
          <w:rFonts w:ascii="Arial" w:hAnsi="Arial" w:cs="Arial"/>
        </w:rPr>
        <w:t>Zajištění služeb fyzické ostrahy je oblastí veřejných zakázek, u nichž dlouhodobým tlakem na cenu došlo k narušení trhu</w:t>
      </w:r>
      <w:r w:rsidR="003B4BC4" w:rsidRPr="00F15C89">
        <w:rPr>
          <w:rStyle w:val="eop"/>
          <w:rFonts w:ascii="Arial" w:hAnsi="Arial" w:cs="Arial"/>
        </w:rPr>
        <w:t xml:space="preserve">. </w:t>
      </w:r>
      <w:r w:rsidR="00CD6DA4" w:rsidRPr="00F15C89">
        <w:rPr>
          <w:rStyle w:val="eop"/>
          <w:rFonts w:ascii="Arial" w:hAnsi="Arial" w:cs="Arial"/>
        </w:rPr>
        <w:t>M</w:t>
      </w:r>
      <w:r w:rsidRPr="00F15C89">
        <w:rPr>
          <w:rStyle w:val="eop"/>
          <w:rFonts w:ascii="Arial" w:hAnsi="Arial" w:cs="Arial"/>
        </w:rPr>
        <w:t xml:space="preserve">ůže docházet k obcházení pracovněprávních předpisů </w:t>
      </w:r>
      <w:r w:rsidR="00477383" w:rsidRPr="00F15C89">
        <w:rPr>
          <w:rStyle w:val="eop"/>
          <w:rFonts w:ascii="Arial" w:hAnsi="Arial" w:cs="Arial"/>
        </w:rPr>
        <w:t>ve</w:t>
      </w:r>
      <w:r w:rsidR="00477383">
        <w:rPr>
          <w:rStyle w:val="eop"/>
          <w:rFonts w:ascii="Arial" w:hAnsi="Arial" w:cs="Arial"/>
        </w:rPr>
        <w:t> </w:t>
      </w:r>
      <w:r w:rsidRPr="00F15C89">
        <w:rPr>
          <w:rStyle w:val="eop"/>
          <w:rFonts w:ascii="Arial" w:hAnsi="Arial" w:cs="Arial"/>
        </w:rPr>
        <w:t>vztahu k bezpečnostním pracovníkům podílejícím se na realizaci veřejné zakázky, což vede k nestabilitě realizačního týmu</w:t>
      </w:r>
      <w:r w:rsidR="00A773BB" w:rsidRPr="00F15C89">
        <w:rPr>
          <w:rStyle w:val="eop"/>
          <w:rFonts w:ascii="Arial" w:hAnsi="Arial" w:cs="Arial"/>
        </w:rPr>
        <w:t xml:space="preserve"> a nekvalitnímu plnění</w:t>
      </w:r>
      <w:r w:rsidRPr="00F15C89">
        <w:rPr>
          <w:rStyle w:val="eop"/>
          <w:rFonts w:ascii="Arial" w:hAnsi="Arial" w:cs="Arial"/>
        </w:rPr>
        <w:t xml:space="preserve">. </w:t>
      </w:r>
      <w:r w:rsidR="00CD6DA4" w:rsidRPr="00F15C89">
        <w:rPr>
          <w:rStyle w:val="eop"/>
          <w:rFonts w:ascii="Arial" w:hAnsi="Arial" w:cs="Arial"/>
        </w:rPr>
        <w:t>Časté je</w:t>
      </w:r>
      <w:r w:rsidRPr="00F15C89">
        <w:rPr>
          <w:rStyle w:val="eop"/>
          <w:rFonts w:ascii="Arial" w:hAnsi="Arial" w:cs="Arial"/>
        </w:rPr>
        <w:t xml:space="preserve"> tvrzení o zapojení osob </w:t>
      </w:r>
      <w:r w:rsidR="00477383" w:rsidRPr="00F15C89">
        <w:rPr>
          <w:rStyle w:val="eop"/>
          <w:rFonts w:ascii="Arial" w:hAnsi="Arial" w:cs="Arial"/>
        </w:rPr>
        <w:t>se</w:t>
      </w:r>
      <w:r w:rsidR="00477383">
        <w:rPr>
          <w:rStyle w:val="eop"/>
          <w:rFonts w:ascii="Arial" w:hAnsi="Arial" w:cs="Arial"/>
        </w:rPr>
        <w:t> </w:t>
      </w:r>
      <w:r w:rsidRPr="00F15C89">
        <w:rPr>
          <w:rStyle w:val="eop"/>
          <w:rFonts w:ascii="Arial" w:hAnsi="Arial" w:cs="Arial"/>
        </w:rPr>
        <w:t>zdravotním postižením ve snaze snížit nabídkovou cenu v</w:t>
      </w:r>
      <w:r w:rsidR="0042474C" w:rsidRPr="00F15C89">
        <w:rPr>
          <w:rStyle w:val="eop"/>
          <w:rFonts w:ascii="Arial" w:hAnsi="Arial" w:cs="Arial"/>
        </w:rPr>
        <w:t> </w:t>
      </w:r>
      <w:r w:rsidRPr="00F15C89">
        <w:rPr>
          <w:rStyle w:val="eop"/>
          <w:rFonts w:ascii="Arial" w:hAnsi="Arial" w:cs="Arial"/>
        </w:rPr>
        <w:t xml:space="preserve">zadávacím řízení o příspěvky </w:t>
      </w:r>
      <w:r w:rsidR="00477383" w:rsidRPr="00F15C89">
        <w:rPr>
          <w:rStyle w:val="eop"/>
          <w:rFonts w:ascii="Arial" w:hAnsi="Arial" w:cs="Arial"/>
        </w:rPr>
        <w:t>na</w:t>
      </w:r>
      <w:r w:rsidR="00477383">
        <w:rPr>
          <w:rStyle w:val="eop"/>
          <w:rFonts w:ascii="Arial" w:hAnsi="Arial" w:cs="Arial"/>
        </w:rPr>
        <w:t> </w:t>
      </w:r>
      <w:r w:rsidRPr="00F15C89">
        <w:rPr>
          <w:rStyle w:val="eop"/>
          <w:rFonts w:ascii="Arial" w:hAnsi="Arial" w:cs="Arial"/>
        </w:rPr>
        <w:t xml:space="preserve">podporu zaměstnávání osob se zdravotním postižením, </w:t>
      </w:r>
      <w:r w:rsidR="009F1083" w:rsidRPr="00F15C89">
        <w:rPr>
          <w:rStyle w:val="eop"/>
          <w:rFonts w:ascii="Arial" w:hAnsi="Arial" w:cs="Arial"/>
        </w:rPr>
        <w:t>aniž by následně k reálnému zapojení osob se zdravotním postižením do</w:t>
      </w:r>
      <w:r w:rsidR="004E4098" w:rsidRPr="00F15C89">
        <w:rPr>
          <w:rStyle w:val="eop"/>
          <w:rFonts w:ascii="Arial" w:hAnsi="Arial" w:cs="Arial"/>
        </w:rPr>
        <w:t> </w:t>
      </w:r>
      <w:r w:rsidR="009F1083" w:rsidRPr="00F15C89">
        <w:rPr>
          <w:rStyle w:val="eop"/>
          <w:rFonts w:ascii="Arial" w:hAnsi="Arial" w:cs="Arial"/>
        </w:rPr>
        <w:t xml:space="preserve">plnění na vhodných pozicích docházelo. </w:t>
      </w:r>
    </w:p>
    <w:p w14:paraId="43BD2138" w14:textId="77777777" w:rsidR="00F00865" w:rsidRPr="00F15C89" w:rsidRDefault="00F00865" w:rsidP="00D1448B">
      <w:pPr>
        <w:spacing w:after="0" w:line="240" w:lineRule="auto"/>
        <w:ind w:firstLine="284"/>
        <w:jc w:val="both"/>
        <w:rPr>
          <w:rStyle w:val="eop"/>
          <w:rFonts w:ascii="Arial" w:hAnsi="Arial" w:cs="Arial"/>
        </w:rPr>
      </w:pPr>
    </w:p>
    <w:p w14:paraId="2FC96D1D" w14:textId="35D8A3DD" w:rsidR="00F13BB9" w:rsidRPr="00F15C89" w:rsidRDefault="001167A8" w:rsidP="008138CC">
      <w:pPr>
        <w:spacing w:after="0" w:line="240" w:lineRule="auto"/>
        <w:ind w:firstLine="426"/>
        <w:jc w:val="both"/>
        <w:rPr>
          <w:rFonts w:ascii="Arial" w:hAnsi="Arial" w:cs="Arial"/>
        </w:rPr>
      </w:pPr>
      <w:r w:rsidRPr="00F15C89">
        <w:rPr>
          <w:rFonts w:ascii="Arial" w:hAnsi="Arial" w:cs="Arial"/>
        </w:rPr>
        <w:t xml:space="preserve">Protože se </w:t>
      </w:r>
      <w:r w:rsidR="00F00865" w:rsidRPr="00F15C89">
        <w:rPr>
          <w:rFonts w:ascii="Arial" w:hAnsi="Arial" w:cs="Arial"/>
        </w:rPr>
        <w:t xml:space="preserve">MNNC </w:t>
      </w:r>
      <w:r w:rsidRPr="00F15C89">
        <w:rPr>
          <w:rFonts w:ascii="Arial" w:hAnsi="Arial" w:cs="Arial"/>
        </w:rPr>
        <w:t>u</w:t>
      </w:r>
      <w:r w:rsidR="00F00865" w:rsidRPr="00F15C89">
        <w:rPr>
          <w:rFonts w:ascii="Arial" w:hAnsi="Arial" w:cs="Arial"/>
        </w:rPr>
        <w:t xml:space="preserve"> veřejných zakázek na služby fyzické ostrahy objevují často</w:t>
      </w:r>
      <w:r w:rsidRPr="00F15C89">
        <w:rPr>
          <w:rFonts w:ascii="Arial" w:hAnsi="Arial" w:cs="Arial"/>
        </w:rPr>
        <w:t xml:space="preserve">, </w:t>
      </w:r>
      <w:r w:rsidR="006C1AB3" w:rsidRPr="00F15C89">
        <w:rPr>
          <w:rFonts w:ascii="Arial" w:hAnsi="Arial" w:cs="Arial"/>
        </w:rPr>
        <w:t>stand</w:t>
      </w:r>
      <w:r w:rsidR="003A61CD" w:rsidRPr="00F15C89">
        <w:rPr>
          <w:rFonts w:ascii="Arial" w:hAnsi="Arial" w:cs="Arial"/>
        </w:rPr>
        <w:t>ard dosáhne toho</w:t>
      </w:r>
      <w:r w:rsidR="00F00865" w:rsidRPr="00F15C89">
        <w:rPr>
          <w:rFonts w:ascii="Arial" w:hAnsi="Arial" w:cs="Arial"/>
        </w:rPr>
        <w:t xml:space="preserve">, aby si již před vyhlášením veřejné zakázky byl zadavatel jistý, z jaké nabídkové ceny nelze pokrýt ani nutně vznikající náklady během plnění. </w:t>
      </w:r>
      <w:r w:rsidR="003A61CD" w:rsidRPr="00F15C89">
        <w:rPr>
          <w:rFonts w:ascii="Arial" w:hAnsi="Arial" w:cs="Arial"/>
        </w:rPr>
        <w:t>S</w:t>
      </w:r>
      <w:r w:rsidR="00F00865" w:rsidRPr="00F15C89">
        <w:rPr>
          <w:rFonts w:ascii="Arial" w:eastAsia="Calibri" w:hAnsi="Arial" w:cs="Arial"/>
        </w:rPr>
        <w:t xml:space="preserve">tanovení ceny, která bude považována za </w:t>
      </w:r>
      <w:r w:rsidR="00F00865" w:rsidRPr="00F15C89">
        <w:rPr>
          <w:rFonts w:ascii="Arial" w:hAnsi="Arial" w:cs="Arial"/>
        </w:rPr>
        <w:t>MNNC</w:t>
      </w:r>
      <w:r w:rsidR="003A61CD" w:rsidRPr="00F15C89">
        <w:rPr>
          <w:rFonts w:ascii="Arial" w:hAnsi="Arial" w:cs="Arial"/>
        </w:rPr>
        <w:t xml:space="preserve"> </w:t>
      </w:r>
      <w:r w:rsidR="00594A86" w:rsidRPr="00F15C89">
        <w:rPr>
          <w:rFonts w:ascii="Arial" w:hAnsi="Arial" w:cs="Arial"/>
        </w:rPr>
        <w:t>je</w:t>
      </w:r>
      <w:r w:rsidR="00F00865" w:rsidRPr="00F15C89">
        <w:rPr>
          <w:rFonts w:ascii="Arial" w:hAnsi="Arial" w:cs="Arial"/>
        </w:rPr>
        <w:t xml:space="preserve"> do určité míry závis</w:t>
      </w:r>
      <w:r w:rsidR="00594A86" w:rsidRPr="00F15C89">
        <w:rPr>
          <w:rFonts w:ascii="Arial" w:hAnsi="Arial" w:cs="Arial"/>
        </w:rPr>
        <w:t>lé</w:t>
      </w:r>
      <w:r w:rsidR="00F00865" w:rsidRPr="00F15C89">
        <w:rPr>
          <w:rFonts w:ascii="Arial" w:hAnsi="Arial" w:cs="Arial"/>
        </w:rPr>
        <w:t xml:space="preserve"> na způsobu zaměstnávání účastníkem </w:t>
      </w:r>
      <w:r w:rsidR="00DD1A3A" w:rsidRPr="00F15C89">
        <w:rPr>
          <w:rFonts w:ascii="Arial" w:hAnsi="Arial" w:cs="Arial"/>
        </w:rPr>
        <w:t xml:space="preserve">zadávacího řízení </w:t>
      </w:r>
      <w:r w:rsidR="00F00865" w:rsidRPr="00F15C89">
        <w:rPr>
          <w:rFonts w:ascii="Arial" w:hAnsi="Arial" w:cs="Arial"/>
        </w:rPr>
        <w:t>(příp. poddodavatelem)</w:t>
      </w:r>
      <w:r w:rsidR="00DD1A3A" w:rsidRPr="00F15C89">
        <w:rPr>
          <w:rFonts w:ascii="Arial" w:hAnsi="Arial" w:cs="Arial"/>
        </w:rPr>
        <w:t>.</w:t>
      </w:r>
      <w:r w:rsidR="00F00865" w:rsidRPr="00F15C89">
        <w:rPr>
          <w:rFonts w:ascii="Arial" w:hAnsi="Arial" w:cs="Arial"/>
        </w:rPr>
        <w:t xml:space="preserve"> </w:t>
      </w:r>
      <w:r w:rsidR="00AB4166" w:rsidRPr="00F15C89">
        <w:rPr>
          <w:rFonts w:ascii="Arial" w:hAnsi="Arial" w:cs="Arial"/>
        </w:rPr>
        <w:t xml:space="preserve"> </w:t>
      </w:r>
      <w:r w:rsidR="004B78EF" w:rsidRPr="00F15C89">
        <w:rPr>
          <w:rFonts w:ascii="Arial" w:hAnsi="Arial" w:cs="Arial"/>
        </w:rPr>
        <w:t xml:space="preserve">Zadavatelé si </w:t>
      </w:r>
      <w:r w:rsidR="0091580D" w:rsidRPr="00F15C89">
        <w:rPr>
          <w:rFonts w:ascii="Arial" w:hAnsi="Arial" w:cs="Arial"/>
        </w:rPr>
        <w:t xml:space="preserve">v souladu se standardem </w:t>
      </w:r>
      <w:r w:rsidR="004B78EF" w:rsidRPr="00F15C89">
        <w:rPr>
          <w:rFonts w:ascii="Arial" w:hAnsi="Arial" w:cs="Arial"/>
        </w:rPr>
        <w:t xml:space="preserve">již </w:t>
      </w:r>
      <w:r w:rsidR="007B28AD">
        <w:rPr>
          <w:rFonts w:ascii="Arial" w:hAnsi="Arial" w:cs="Arial"/>
        </w:rPr>
        <w:br/>
      </w:r>
      <w:r w:rsidR="004B78EF" w:rsidRPr="00F15C89">
        <w:rPr>
          <w:rFonts w:ascii="Arial" w:hAnsi="Arial" w:cs="Arial"/>
        </w:rPr>
        <w:t xml:space="preserve">před vyhlášením veřejné zakázky musí spočítat, od </w:t>
      </w:r>
      <w:r w:rsidR="00044AAB" w:rsidRPr="00F15C89">
        <w:rPr>
          <w:rFonts w:ascii="Arial" w:hAnsi="Arial" w:cs="Arial"/>
        </w:rPr>
        <w:t>jaké její výše již</w:t>
      </w:r>
      <w:r w:rsidR="004B78EF" w:rsidRPr="00F15C89">
        <w:rPr>
          <w:rFonts w:ascii="Arial" w:hAnsi="Arial" w:cs="Arial"/>
        </w:rPr>
        <w:t xml:space="preserve"> z nabídkové ceny nelze </w:t>
      </w:r>
      <w:r w:rsidR="0073623E">
        <w:rPr>
          <w:rFonts w:ascii="Arial" w:hAnsi="Arial" w:cs="Arial"/>
        </w:rPr>
        <w:br/>
      </w:r>
      <w:r w:rsidR="004B78EF" w:rsidRPr="00F15C89">
        <w:rPr>
          <w:rFonts w:ascii="Arial" w:hAnsi="Arial" w:cs="Arial"/>
        </w:rPr>
        <w:t xml:space="preserve">(bez dalšího vysvětlení) pokrýt ani nutně vznikající náklady a </w:t>
      </w:r>
      <w:r w:rsidR="00E6635A" w:rsidRPr="00F15C89">
        <w:rPr>
          <w:rFonts w:ascii="Arial" w:hAnsi="Arial" w:cs="Arial"/>
        </w:rPr>
        <w:t>na základě toho uvést</w:t>
      </w:r>
      <w:r w:rsidR="004B78EF" w:rsidRPr="00F15C89">
        <w:rPr>
          <w:rFonts w:ascii="Arial" w:hAnsi="Arial" w:cs="Arial"/>
        </w:rPr>
        <w:t xml:space="preserve"> v zadávací dokumentaci cenu, která bude považována za MNNC.</w:t>
      </w:r>
    </w:p>
    <w:p w14:paraId="0756FAEA" w14:textId="77777777" w:rsidR="007E7E0D" w:rsidRPr="00F15C89" w:rsidRDefault="007E7E0D" w:rsidP="005001A8">
      <w:pPr>
        <w:spacing w:after="0" w:line="240" w:lineRule="auto"/>
        <w:ind w:firstLine="284"/>
        <w:jc w:val="both"/>
        <w:rPr>
          <w:rFonts w:ascii="Arial" w:hAnsi="Arial" w:cs="Arial"/>
        </w:rPr>
      </w:pPr>
    </w:p>
    <w:p w14:paraId="2A3E68AD" w14:textId="65FD00F0" w:rsidR="00E10688" w:rsidRPr="00F15C89" w:rsidRDefault="00E10688" w:rsidP="008138CC">
      <w:pPr>
        <w:spacing w:after="0" w:line="240" w:lineRule="auto"/>
        <w:ind w:firstLine="426"/>
        <w:jc w:val="both"/>
        <w:rPr>
          <w:rFonts w:ascii="Arial" w:hAnsi="Arial" w:cs="Arial"/>
        </w:rPr>
      </w:pPr>
      <w:r w:rsidRPr="00F15C89">
        <w:rPr>
          <w:rFonts w:ascii="Arial" w:hAnsi="Arial" w:cs="Arial"/>
        </w:rPr>
        <w:t xml:space="preserve">Údaje o způsobu zaměstnávání, tak jak jsou předepsány v Tabulce 1 a Tabulce 2, jsou nezbytné pro rozpoznání, zda se jedná o MNNC, příp. zda je dostatečně zdůvodněna. Umožní tak postavit najisto, zda plnění zakázky nepovede k porušování povinností vyplývajících </w:t>
      </w:r>
      <w:r w:rsidR="00F364CD">
        <w:rPr>
          <w:rFonts w:ascii="Arial" w:hAnsi="Arial" w:cs="Arial"/>
        </w:rPr>
        <w:br/>
      </w:r>
      <w:r w:rsidRPr="00F15C89">
        <w:rPr>
          <w:rFonts w:ascii="Arial" w:hAnsi="Arial" w:cs="Arial"/>
        </w:rPr>
        <w:t xml:space="preserve">ze sociálních nebo pracovněprávních předpisů. Údaje o způsobu zaměstnávání týmu BP </w:t>
      </w:r>
      <w:r w:rsidR="00253421" w:rsidRPr="00F15C89">
        <w:rPr>
          <w:rFonts w:ascii="Arial" w:hAnsi="Arial" w:cs="Arial"/>
        </w:rPr>
        <w:t>v</w:t>
      </w:r>
      <w:r w:rsidR="00253421">
        <w:rPr>
          <w:rFonts w:ascii="Arial" w:hAnsi="Arial" w:cs="Arial"/>
        </w:rPr>
        <w:t> </w:t>
      </w:r>
      <w:r w:rsidRPr="00F15C89">
        <w:rPr>
          <w:rFonts w:ascii="Arial" w:hAnsi="Arial" w:cs="Arial"/>
        </w:rPr>
        <w:t xml:space="preserve">Tabulce 1 a Tabulce 2 poskytují mimo jiné přehled o tvrzeném (Tabulka 1) a reálném zapojení OZP (Tabulka 2 </w:t>
      </w:r>
      <w:r w:rsidR="00D95E15" w:rsidRPr="00F15C89">
        <w:rPr>
          <w:rFonts w:ascii="Arial" w:hAnsi="Arial" w:cs="Arial"/>
        </w:rPr>
        <w:t xml:space="preserve">a </w:t>
      </w:r>
      <w:r w:rsidR="000A3652" w:rsidRPr="00F15C89">
        <w:rPr>
          <w:rFonts w:ascii="Arial" w:hAnsi="Arial" w:cs="Arial"/>
        </w:rPr>
        <w:t>p</w:t>
      </w:r>
      <w:r w:rsidRPr="00F15C89">
        <w:rPr>
          <w:rFonts w:ascii="Arial" w:hAnsi="Arial" w:cs="Arial"/>
        </w:rPr>
        <w:t xml:space="preserve">řehled </w:t>
      </w:r>
      <w:r w:rsidRPr="00F15C89" w:rsidDel="007242E8">
        <w:rPr>
          <w:rFonts w:ascii="Arial" w:hAnsi="Arial" w:cs="Arial"/>
        </w:rPr>
        <w:t>o</w:t>
      </w:r>
      <w:r w:rsidRPr="00F15C89">
        <w:rPr>
          <w:rFonts w:ascii="Arial" w:hAnsi="Arial" w:cs="Arial"/>
        </w:rPr>
        <w:t> odpracovaných hodinách).</w:t>
      </w:r>
    </w:p>
    <w:p w14:paraId="6982C5E8" w14:textId="77777777" w:rsidR="005001A8" w:rsidRPr="00F15C89" w:rsidRDefault="005001A8" w:rsidP="005001A8">
      <w:pPr>
        <w:spacing w:after="0" w:line="240" w:lineRule="auto"/>
        <w:ind w:firstLine="284"/>
        <w:jc w:val="both"/>
        <w:rPr>
          <w:rFonts w:ascii="Arial" w:hAnsi="Arial" w:cs="Arial"/>
        </w:rPr>
      </w:pPr>
    </w:p>
    <w:p w14:paraId="43E74290" w14:textId="43E2B4AD" w:rsidR="00564D26" w:rsidRPr="00F15C89" w:rsidRDefault="00564D26" w:rsidP="008138CC">
      <w:pPr>
        <w:spacing w:line="240" w:lineRule="auto"/>
        <w:ind w:firstLine="426"/>
        <w:jc w:val="both"/>
        <w:rPr>
          <w:rFonts w:ascii="Arial" w:hAnsi="Arial" w:cs="Arial"/>
        </w:rPr>
      </w:pPr>
      <w:r w:rsidRPr="00F15C89">
        <w:rPr>
          <w:rFonts w:ascii="Arial" w:hAnsi="Arial" w:cs="Arial"/>
        </w:rPr>
        <w:t xml:space="preserve">Ze shora uvedeného logicky vyplývá, že </w:t>
      </w:r>
      <w:r w:rsidR="00F06B54" w:rsidRPr="00F15C89">
        <w:rPr>
          <w:rFonts w:ascii="Arial" w:hAnsi="Arial" w:cs="Arial"/>
        </w:rPr>
        <w:t xml:space="preserve">uplatnění standardu povede </w:t>
      </w:r>
      <w:r w:rsidR="00A14701" w:rsidRPr="00F15C89">
        <w:rPr>
          <w:rFonts w:ascii="Arial" w:hAnsi="Arial" w:cs="Arial"/>
        </w:rPr>
        <w:t>mnohdy</w:t>
      </w:r>
      <w:r w:rsidR="00F06B54" w:rsidRPr="00F15C89">
        <w:rPr>
          <w:rFonts w:ascii="Arial" w:hAnsi="Arial" w:cs="Arial"/>
        </w:rPr>
        <w:t xml:space="preserve"> k navýšení nabídkových cen</w:t>
      </w:r>
      <w:r w:rsidR="00BB6C35" w:rsidRPr="00F15C89">
        <w:rPr>
          <w:rFonts w:ascii="Arial" w:hAnsi="Arial" w:cs="Arial"/>
        </w:rPr>
        <w:t xml:space="preserve">, nicméně jedná se o </w:t>
      </w:r>
      <w:r w:rsidR="00F82053" w:rsidRPr="00F15C89">
        <w:rPr>
          <w:rFonts w:ascii="Arial" w:hAnsi="Arial" w:cs="Arial"/>
        </w:rPr>
        <w:t>narovnání současné situace a</w:t>
      </w:r>
      <w:r w:rsidR="00AB7283" w:rsidRPr="00F15C89">
        <w:rPr>
          <w:rFonts w:ascii="Arial" w:hAnsi="Arial" w:cs="Arial"/>
        </w:rPr>
        <w:t> </w:t>
      </w:r>
      <w:r w:rsidR="00F82053" w:rsidRPr="00F15C89">
        <w:rPr>
          <w:rFonts w:ascii="Arial" w:hAnsi="Arial" w:cs="Arial"/>
        </w:rPr>
        <w:t xml:space="preserve">zabezpečení, že (podhodnocená) </w:t>
      </w:r>
      <w:r w:rsidR="00FF25C7" w:rsidRPr="00F15C89">
        <w:rPr>
          <w:rFonts w:ascii="Arial" w:hAnsi="Arial" w:cs="Arial"/>
        </w:rPr>
        <w:t>cena pro zadavatele není na úkor důstojných pracovních podmínek bezpečnostních pracovníků.</w:t>
      </w:r>
      <w:r w:rsidR="00F06B54" w:rsidRPr="00F15C89">
        <w:rPr>
          <w:rFonts w:ascii="Arial" w:hAnsi="Arial" w:cs="Arial"/>
        </w:rPr>
        <w:t xml:space="preserve"> </w:t>
      </w:r>
    </w:p>
    <w:p w14:paraId="23948E47" w14:textId="4C7C9EA0" w:rsidR="005F08D0" w:rsidRPr="00F15C89" w:rsidRDefault="005F08D0" w:rsidP="00D1448B">
      <w:pPr>
        <w:pStyle w:val="Odstavecseseznamem"/>
        <w:numPr>
          <w:ilvl w:val="0"/>
          <w:numId w:val="38"/>
        </w:numPr>
        <w:spacing w:after="0" w:line="240" w:lineRule="auto"/>
        <w:ind w:left="284" w:hanging="295"/>
        <w:jc w:val="both"/>
        <w:rPr>
          <w:rFonts w:ascii="Arial" w:hAnsi="Arial" w:cs="Arial"/>
        </w:rPr>
      </w:pPr>
      <w:r w:rsidRPr="00F15C89">
        <w:rPr>
          <w:rFonts w:ascii="Arial" w:hAnsi="Arial" w:cs="Arial"/>
        </w:rPr>
        <w:t>Kritérium hodnocení „</w:t>
      </w:r>
      <w:r w:rsidR="004C7CE3" w:rsidRPr="00F15C89">
        <w:rPr>
          <w:rFonts w:ascii="Arial" w:hAnsi="Arial" w:cs="Arial"/>
        </w:rPr>
        <w:t xml:space="preserve">garantovaná </w:t>
      </w:r>
      <w:r w:rsidRPr="00F15C89">
        <w:rPr>
          <w:rFonts w:ascii="Arial" w:hAnsi="Arial" w:cs="Arial"/>
        </w:rPr>
        <w:t>výše mzdy bezpečnostního pracovníka“</w:t>
      </w:r>
    </w:p>
    <w:p w14:paraId="26A50010" w14:textId="77777777" w:rsidR="0011355D" w:rsidRPr="00F15C89" w:rsidRDefault="00F13BB9" w:rsidP="008138CC">
      <w:pPr>
        <w:widowControl w:val="0"/>
        <w:spacing w:after="0" w:line="240" w:lineRule="auto"/>
        <w:ind w:firstLine="426"/>
        <w:jc w:val="both"/>
        <w:rPr>
          <w:rFonts w:ascii="Arial" w:hAnsi="Arial" w:cs="Arial"/>
        </w:rPr>
      </w:pPr>
      <w:r w:rsidRPr="00F15C89">
        <w:rPr>
          <w:rFonts w:ascii="Arial" w:hAnsi="Arial" w:cs="Arial"/>
          <w:shd w:val="clear" w:color="auto" w:fill="FFFFFF"/>
        </w:rPr>
        <w:t xml:space="preserve">V současné době je v oblasti služeb fyzické ostrahy zvyklostí </w:t>
      </w:r>
      <w:r w:rsidR="00602399" w:rsidRPr="00F15C89">
        <w:rPr>
          <w:rFonts w:ascii="Arial" w:hAnsi="Arial" w:cs="Arial"/>
          <w:shd w:val="clear" w:color="auto" w:fill="FFFFFF"/>
        </w:rPr>
        <w:t xml:space="preserve">vysoká </w:t>
      </w:r>
      <w:r w:rsidR="00A14701" w:rsidRPr="00F15C89">
        <w:rPr>
          <w:rFonts w:ascii="Arial" w:hAnsi="Arial" w:cs="Arial"/>
          <w:shd w:val="clear" w:color="auto" w:fill="FFFFFF"/>
        </w:rPr>
        <w:t>míra</w:t>
      </w:r>
      <w:r w:rsidRPr="00F15C89">
        <w:rPr>
          <w:rFonts w:ascii="Arial" w:hAnsi="Arial" w:cs="Arial"/>
          <w:shd w:val="clear" w:color="auto" w:fill="FFFFFF"/>
        </w:rPr>
        <w:t xml:space="preserve"> fluktuace zaměstnanců mezi různými dodavatelskými firmami, což je pro zadavatele nežádoucí jednak z hlediska kvality služeb (BP znající prostory a specifika zadavatele je zpravidla schopen kvalitnějšího pracovního výkonu) a jednak z hlediska bezpečnosti (BP jsou důvěrně sezn</w:t>
      </w:r>
      <w:r w:rsidRPr="00F15C89">
        <w:rPr>
          <w:rFonts w:ascii="Arial" w:hAnsi="Arial" w:cs="Arial"/>
          <w:color w:val="000000" w:themeColor="text1"/>
          <w:shd w:val="clear" w:color="auto" w:fill="FFFFFF"/>
        </w:rPr>
        <w:t xml:space="preserve">ámeni s prostory, včetně případných slabin střeženého objektu). </w:t>
      </w:r>
      <w:r w:rsidR="004A688E" w:rsidRPr="00F15C89">
        <w:rPr>
          <w:rFonts w:ascii="Arial" w:hAnsi="Arial" w:cs="Arial"/>
          <w:color w:val="000000" w:themeColor="text1"/>
          <w:shd w:val="clear" w:color="auto" w:fill="FFFFFF"/>
        </w:rPr>
        <w:t>Je notorietou, že v</w:t>
      </w:r>
      <w:r w:rsidR="00BB4A7B" w:rsidRPr="00F15C89">
        <w:rPr>
          <w:rFonts w:ascii="Arial" w:hAnsi="Arial" w:cs="Arial"/>
          <w:color w:val="000000" w:themeColor="text1"/>
          <w:shd w:val="clear" w:color="auto" w:fill="FFFFFF"/>
        </w:rPr>
        <w:t> zaměstnáních s</w:t>
      </w:r>
      <w:r w:rsidR="001622A7" w:rsidRPr="00F15C89">
        <w:rPr>
          <w:rFonts w:ascii="Arial" w:hAnsi="Arial" w:cs="Arial"/>
          <w:color w:val="000000" w:themeColor="text1"/>
          <w:shd w:val="clear" w:color="auto" w:fill="FFFFFF"/>
        </w:rPr>
        <w:t xml:space="preserve"> minimální</w:t>
      </w:r>
      <w:r w:rsidR="00BB4A7B" w:rsidRPr="00F15C89">
        <w:rPr>
          <w:rFonts w:ascii="Arial" w:hAnsi="Arial" w:cs="Arial"/>
          <w:color w:val="000000" w:themeColor="text1"/>
          <w:shd w:val="clear" w:color="auto" w:fill="FFFFFF"/>
        </w:rPr>
        <w:t xml:space="preserve"> mzdou</w:t>
      </w:r>
      <w:r w:rsidR="0097065D" w:rsidRPr="00F15C89">
        <w:rPr>
          <w:rFonts w:ascii="Arial" w:hAnsi="Arial" w:cs="Arial"/>
          <w:color w:val="000000" w:themeColor="text1"/>
          <w:shd w:val="clear" w:color="auto" w:fill="FFFFFF"/>
        </w:rPr>
        <w:t xml:space="preserve">, je právě navýšení mzdy </w:t>
      </w:r>
      <w:r w:rsidR="00B23175" w:rsidRPr="00F15C89">
        <w:rPr>
          <w:rFonts w:ascii="Arial" w:hAnsi="Arial" w:cs="Arial"/>
          <w:color w:val="000000" w:themeColor="text1"/>
          <w:shd w:val="clear" w:color="auto" w:fill="FFFFFF"/>
        </w:rPr>
        <w:t>jedním z klíčových motivačních faktorů</w:t>
      </w:r>
      <w:r w:rsidR="00575180" w:rsidRPr="00F15C89">
        <w:rPr>
          <w:rFonts w:ascii="Arial" w:hAnsi="Arial" w:cs="Arial"/>
          <w:color w:val="000000" w:themeColor="text1"/>
          <w:shd w:val="clear" w:color="auto" w:fill="FFFFFF"/>
        </w:rPr>
        <w:t xml:space="preserve"> pracovníků</w:t>
      </w:r>
      <w:r w:rsidR="00B23175" w:rsidRPr="00F15C89">
        <w:rPr>
          <w:rFonts w:ascii="Arial" w:hAnsi="Arial" w:cs="Arial"/>
          <w:color w:val="000000" w:themeColor="text1"/>
          <w:shd w:val="clear" w:color="auto" w:fill="FFFFFF"/>
        </w:rPr>
        <w:t xml:space="preserve">. Výše mzdy, garantovaná bezpečnostním pracovníkům, tak může mít vliv jak na </w:t>
      </w:r>
      <w:r w:rsidR="00A46FE3" w:rsidRPr="00F15C89">
        <w:rPr>
          <w:rFonts w:ascii="Arial" w:hAnsi="Arial" w:cs="Arial"/>
          <w:color w:val="000000" w:themeColor="text1"/>
          <w:shd w:val="clear" w:color="auto" w:fill="FFFFFF"/>
        </w:rPr>
        <w:t>stabilitu týmu, tak na kvalitu jeho výkonů.</w:t>
      </w:r>
      <w:r w:rsidR="00B23175" w:rsidRPr="00F15C89">
        <w:rPr>
          <w:rFonts w:ascii="Arial" w:hAnsi="Arial" w:cs="Arial"/>
          <w:color w:val="000000" w:themeColor="text1"/>
          <w:shd w:val="clear" w:color="auto" w:fill="FFFFFF"/>
        </w:rPr>
        <w:t xml:space="preserve"> </w:t>
      </w:r>
      <w:r w:rsidR="00D232D0" w:rsidRPr="00F15C89">
        <w:rPr>
          <w:rFonts w:ascii="Arial" w:hAnsi="Arial" w:cs="Arial"/>
        </w:rPr>
        <w:t xml:space="preserve">Jedná se o minimální hodinovou garantovanou mzdu, tzn. BP lze poskytnout mzdu vyšší, žádnému BP však nesmí být poskytována mzda nižší (než garantovaná v rámci tohoto kritéria hodnocení). </w:t>
      </w:r>
    </w:p>
    <w:p w14:paraId="5A7A2824" w14:textId="77777777" w:rsidR="0011355D" w:rsidRPr="00F15C89" w:rsidRDefault="0011355D" w:rsidP="0011355D">
      <w:pPr>
        <w:widowControl w:val="0"/>
        <w:spacing w:after="0" w:line="240" w:lineRule="auto"/>
        <w:ind w:firstLine="284"/>
        <w:jc w:val="both"/>
        <w:rPr>
          <w:rFonts w:ascii="Arial" w:hAnsi="Arial" w:cs="Arial"/>
        </w:rPr>
      </w:pPr>
    </w:p>
    <w:p w14:paraId="20990AA5" w14:textId="2300383C" w:rsidR="00D232D0" w:rsidRPr="00F15C89" w:rsidRDefault="00D232D0" w:rsidP="008138CC">
      <w:pPr>
        <w:widowControl w:val="0"/>
        <w:spacing w:after="0" w:line="240" w:lineRule="auto"/>
        <w:ind w:firstLine="426"/>
        <w:jc w:val="both"/>
        <w:rPr>
          <w:rFonts w:ascii="Arial" w:hAnsi="Arial" w:cs="Arial"/>
        </w:rPr>
      </w:pPr>
      <w:r w:rsidRPr="00F15C89">
        <w:rPr>
          <w:rFonts w:ascii="Arial" w:hAnsi="Arial" w:cs="Arial"/>
        </w:rPr>
        <w:t>Je na dodavateli, jakou výši mzdy, které pozici přiřadí (při dodržení právními předpisy daného minima), nicméně předmětem hodnocení bude ta, kterou je dodavatel (poddodavatel) jako minimální připraven garantovat všem BP bez ohledu na jimi konkrétně vykonávanou pozici.</w:t>
      </w:r>
    </w:p>
    <w:p w14:paraId="3B0AEDCA" w14:textId="77777777" w:rsidR="0011355D" w:rsidRPr="00F15C89" w:rsidRDefault="0011355D" w:rsidP="00D1448B">
      <w:pPr>
        <w:spacing w:after="0" w:line="240" w:lineRule="auto"/>
        <w:ind w:firstLine="284"/>
        <w:jc w:val="both"/>
        <w:rPr>
          <w:rFonts w:ascii="Arial" w:hAnsi="Arial" w:cs="Arial"/>
        </w:rPr>
      </w:pPr>
    </w:p>
    <w:p w14:paraId="7E5ADA20" w14:textId="43848BD8" w:rsidR="00F13BB9" w:rsidRPr="00F15C89" w:rsidRDefault="00D232D0" w:rsidP="008138CC">
      <w:pPr>
        <w:spacing w:after="0" w:line="240" w:lineRule="auto"/>
        <w:ind w:firstLine="426"/>
        <w:jc w:val="both"/>
        <w:rPr>
          <w:rFonts w:ascii="Arial" w:hAnsi="Arial" w:cs="Arial"/>
        </w:rPr>
      </w:pPr>
      <w:r w:rsidRPr="00F15C89">
        <w:rPr>
          <w:rFonts w:ascii="Arial" w:hAnsi="Arial" w:cs="Arial"/>
        </w:rPr>
        <w:t>Z</w:t>
      </w:r>
      <w:r w:rsidR="00444D3F" w:rsidRPr="00F15C89">
        <w:rPr>
          <w:rFonts w:ascii="Arial" w:hAnsi="Arial" w:cs="Arial"/>
        </w:rPr>
        <w:t xml:space="preserve">výhodnění nabídky nabízející vyšší míru zaměstnávání na základě pracovní smlouvy </w:t>
      </w:r>
      <w:r w:rsidR="00253421" w:rsidRPr="00F15C89">
        <w:rPr>
          <w:rFonts w:ascii="Arial" w:hAnsi="Arial" w:cs="Arial"/>
        </w:rPr>
        <w:t>a</w:t>
      </w:r>
      <w:r w:rsidR="00253421">
        <w:rPr>
          <w:rFonts w:ascii="Arial" w:hAnsi="Arial" w:cs="Arial"/>
        </w:rPr>
        <w:t> </w:t>
      </w:r>
      <w:r w:rsidR="00444D3F" w:rsidRPr="00F15C89">
        <w:rPr>
          <w:rFonts w:ascii="Arial" w:hAnsi="Arial" w:cs="Arial"/>
        </w:rPr>
        <w:t>plných zaměstnaneckých výhod s tím souvisejících</w:t>
      </w:r>
      <w:r w:rsidR="001A64B5" w:rsidRPr="00F15C89">
        <w:rPr>
          <w:rFonts w:ascii="Arial" w:hAnsi="Arial" w:cs="Arial"/>
        </w:rPr>
        <w:t xml:space="preserve"> </w:t>
      </w:r>
      <w:r w:rsidR="00A46FE3" w:rsidRPr="00F15C89">
        <w:rPr>
          <w:rFonts w:ascii="Arial" w:hAnsi="Arial" w:cs="Arial"/>
        </w:rPr>
        <w:t xml:space="preserve">(viz standard 4) </w:t>
      </w:r>
      <w:r w:rsidR="001A64B5" w:rsidRPr="00F15C89">
        <w:rPr>
          <w:rFonts w:ascii="Arial" w:hAnsi="Arial" w:cs="Arial"/>
        </w:rPr>
        <w:t xml:space="preserve">může pozitivně ovlivnit kvalitu plnění, bezpečnost i </w:t>
      </w:r>
      <w:r w:rsidR="00444D3F" w:rsidRPr="00F15C89">
        <w:rPr>
          <w:rFonts w:ascii="Arial" w:hAnsi="Arial" w:cs="Arial"/>
          <w:shd w:val="clear" w:color="auto" w:fill="FFFFFF"/>
        </w:rPr>
        <w:t>důstojn</w:t>
      </w:r>
      <w:r w:rsidR="0019726D" w:rsidRPr="00F15C89">
        <w:rPr>
          <w:rFonts w:ascii="Arial" w:hAnsi="Arial" w:cs="Arial"/>
          <w:shd w:val="clear" w:color="auto" w:fill="FFFFFF"/>
        </w:rPr>
        <w:t>é</w:t>
      </w:r>
      <w:r w:rsidR="00444D3F" w:rsidRPr="00F15C89">
        <w:rPr>
          <w:rFonts w:ascii="Arial" w:hAnsi="Arial" w:cs="Arial"/>
          <w:shd w:val="clear" w:color="auto" w:fill="FFFFFF"/>
        </w:rPr>
        <w:t xml:space="preserve"> pracovní podmínk</w:t>
      </w:r>
      <w:r w:rsidR="0019726D" w:rsidRPr="00F15C89">
        <w:rPr>
          <w:rFonts w:ascii="Arial" w:hAnsi="Arial" w:cs="Arial"/>
          <w:shd w:val="clear" w:color="auto" w:fill="FFFFFF"/>
        </w:rPr>
        <w:t>y BP.</w:t>
      </w:r>
      <w:r w:rsidR="0039312E" w:rsidRPr="00F15C89">
        <w:rPr>
          <w:rFonts w:ascii="Arial" w:hAnsi="Arial" w:cs="Arial"/>
          <w:b/>
          <w:bCs/>
        </w:rPr>
        <w:t xml:space="preserve"> </w:t>
      </w:r>
      <w:r w:rsidR="0039312E" w:rsidRPr="00F15C89">
        <w:rPr>
          <w:rFonts w:ascii="Arial" w:hAnsi="Arial" w:cs="Arial"/>
        </w:rPr>
        <w:t>Zadavatel může zvolit různé způsoby, jak výši odměny BP hodnotit</w:t>
      </w:r>
      <w:r w:rsidR="0029410D" w:rsidRPr="00F15C89">
        <w:rPr>
          <w:rFonts w:ascii="Arial" w:hAnsi="Arial" w:cs="Arial"/>
        </w:rPr>
        <w:t xml:space="preserve"> </w:t>
      </w:r>
      <w:r w:rsidR="0039312E" w:rsidRPr="00F15C89">
        <w:rPr>
          <w:rFonts w:ascii="Arial" w:hAnsi="Arial" w:cs="Arial"/>
        </w:rPr>
        <w:t>– např. dodavatelé mohou nabízet v nabídce hodinovou odměnu pro zaměstnance v určeném finančním rozsahu (spodní limit – min. dle zaručené mzdy, horní limit – v souladu s principy 3E).</w:t>
      </w:r>
    </w:p>
    <w:p w14:paraId="411D039B" w14:textId="77777777" w:rsidR="001C5CDC" w:rsidRPr="00F15C89" w:rsidRDefault="001C5CDC" w:rsidP="00D1448B">
      <w:pPr>
        <w:spacing w:after="0" w:line="240" w:lineRule="auto"/>
        <w:ind w:firstLine="284"/>
        <w:jc w:val="both"/>
        <w:rPr>
          <w:rFonts w:ascii="Arial" w:hAnsi="Arial" w:cs="Arial"/>
          <w:color w:val="000000" w:themeColor="text1"/>
          <w:shd w:val="clear" w:color="auto" w:fill="FFFFFF"/>
        </w:rPr>
      </w:pPr>
    </w:p>
    <w:p w14:paraId="5E7B759D" w14:textId="37599738" w:rsidR="00224CE9" w:rsidRPr="00F15C89" w:rsidRDefault="00224CE9" w:rsidP="00C325DB">
      <w:pPr>
        <w:pStyle w:val="Odstavecseseznamem"/>
        <w:numPr>
          <w:ilvl w:val="0"/>
          <w:numId w:val="38"/>
        </w:numPr>
        <w:spacing w:after="0" w:line="240" w:lineRule="auto"/>
        <w:ind w:left="284" w:hanging="284"/>
        <w:jc w:val="both"/>
        <w:rPr>
          <w:rFonts w:ascii="Arial" w:hAnsi="Arial" w:cs="Arial"/>
        </w:rPr>
      </w:pPr>
      <w:r w:rsidRPr="00F15C89">
        <w:rPr>
          <w:rFonts w:ascii="Arial" w:hAnsi="Arial" w:cs="Arial"/>
        </w:rPr>
        <w:t>Kritérium hodnocení „podíl hodin poskytovaný bezpečnostními pracovníky v pracovním poměru“</w:t>
      </w:r>
    </w:p>
    <w:p w14:paraId="6B26B3F7" w14:textId="188ECE13" w:rsidR="007331FD" w:rsidRPr="00F15C89" w:rsidRDefault="00D93E77" w:rsidP="008138CC">
      <w:pPr>
        <w:spacing w:after="0" w:line="240" w:lineRule="auto"/>
        <w:ind w:firstLine="426"/>
        <w:jc w:val="both"/>
        <w:rPr>
          <w:rFonts w:ascii="Arial" w:hAnsi="Arial" w:cs="Arial"/>
          <w:color w:val="000000" w:themeColor="text1"/>
          <w:shd w:val="clear" w:color="auto" w:fill="FFFFFF"/>
        </w:rPr>
      </w:pPr>
      <w:r w:rsidRPr="00F15C89">
        <w:rPr>
          <w:rFonts w:ascii="Arial" w:hAnsi="Arial" w:cs="Arial"/>
          <w:shd w:val="clear" w:color="auto" w:fill="FFFFFF"/>
        </w:rPr>
        <w:t xml:space="preserve">Typ pracovně právního vztahu </w:t>
      </w:r>
      <w:r w:rsidR="002F479D" w:rsidRPr="00F15C89">
        <w:rPr>
          <w:rFonts w:ascii="Arial" w:hAnsi="Arial" w:cs="Arial"/>
        </w:rPr>
        <w:t>u</w:t>
      </w:r>
      <w:r w:rsidRPr="00F15C89">
        <w:rPr>
          <w:rFonts w:ascii="Arial" w:hAnsi="Arial" w:cs="Arial"/>
        </w:rPr>
        <w:t xml:space="preserve"> </w:t>
      </w:r>
      <w:r w:rsidRPr="00F15C89">
        <w:rPr>
          <w:rFonts w:ascii="Arial" w:hAnsi="Arial" w:cs="Arial"/>
          <w:shd w:val="clear" w:color="auto" w:fill="FFFFFF"/>
        </w:rPr>
        <w:t xml:space="preserve">veřejných zakázek na služby fyzické ostrahy ovlivňuje </w:t>
      </w:r>
      <w:r w:rsidRPr="00F15C89">
        <w:rPr>
          <w:rFonts w:ascii="Arial" w:hAnsi="Arial" w:cs="Arial"/>
        </w:rPr>
        <w:t>kvalitu plnění, neboť souvisí s pracovní spokojeností BP, která souvisí s mírou</w:t>
      </w:r>
      <w:r w:rsidRPr="00F15C89">
        <w:rPr>
          <w:rFonts w:ascii="Arial" w:hAnsi="Arial" w:cs="Arial"/>
          <w:shd w:val="clear" w:color="auto" w:fill="FFFFFF"/>
        </w:rPr>
        <w:t xml:space="preserve"> fluktuace </w:t>
      </w:r>
      <w:r w:rsidR="00681CE3">
        <w:rPr>
          <w:rFonts w:ascii="Arial" w:hAnsi="Arial" w:cs="Arial"/>
          <w:shd w:val="clear" w:color="auto" w:fill="FFFFFF"/>
        </w:rPr>
        <w:br/>
      </w:r>
      <w:r w:rsidRPr="00F15C89">
        <w:rPr>
          <w:rFonts w:ascii="Arial" w:hAnsi="Arial" w:cs="Arial"/>
          <w:shd w:val="clear" w:color="auto" w:fill="FFFFFF"/>
        </w:rPr>
        <w:t xml:space="preserve">(viz </w:t>
      </w:r>
      <w:r w:rsidR="00AA1D0F" w:rsidRPr="00F15C89">
        <w:rPr>
          <w:rFonts w:ascii="Arial" w:hAnsi="Arial" w:cs="Arial"/>
          <w:shd w:val="clear" w:color="auto" w:fill="FFFFFF"/>
        </w:rPr>
        <w:t xml:space="preserve">též </w:t>
      </w:r>
      <w:r w:rsidRPr="00F15C89">
        <w:rPr>
          <w:rFonts w:ascii="Arial" w:hAnsi="Arial" w:cs="Arial"/>
          <w:shd w:val="clear" w:color="auto" w:fill="FFFFFF"/>
        </w:rPr>
        <w:t>standard 3)</w:t>
      </w:r>
      <w:r w:rsidR="002F479D" w:rsidRPr="00F15C89">
        <w:rPr>
          <w:rFonts w:ascii="Arial" w:hAnsi="Arial" w:cs="Arial"/>
          <w:shd w:val="clear" w:color="auto" w:fill="FFFFFF"/>
        </w:rPr>
        <w:t>. Pokud mají BP p</w:t>
      </w:r>
      <w:r w:rsidRPr="00F15C89">
        <w:rPr>
          <w:rFonts w:ascii="Arial" w:hAnsi="Arial" w:cs="Arial"/>
          <w:shd w:val="clear" w:color="auto" w:fill="FFFFFF"/>
        </w:rPr>
        <w:t>racovní smlouv</w:t>
      </w:r>
      <w:r w:rsidR="002F479D" w:rsidRPr="00F15C89">
        <w:rPr>
          <w:rFonts w:ascii="Arial" w:hAnsi="Arial" w:cs="Arial"/>
          <w:shd w:val="clear" w:color="auto" w:fill="FFFFFF"/>
        </w:rPr>
        <w:t>y</w:t>
      </w:r>
      <w:r w:rsidRPr="00F15C89">
        <w:rPr>
          <w:rFonts w:ascii="Arial" w:hAnsi="Arial" w:cs="Arial"/>
          <w:shd w:val="clear" w:color="auto" w:fill="FFFFFF"/>
        </w:rPr>
        <w:t xml:space="preserve"> s výhodami z ní plynoucími, lze dovodit, že </w:t>
      </w:r>
      <w:r w:rsidRPr="00F15C89">
        <w:rPr>
          <w:rFonts w:ascii="Arial" w:hAnsi="Arial" w:cs="Arial"/>
          <w:color w:val="000000" w:themeColor="text1"/>
          <w:shd w:val="clear" w:color="auto" w:fill="FFFFFF"/>
        </w:rPr>
        <w:t xml:space="preserve">může mít pozitivní dopad i na </w:t>
      </w:r>
      <w:r w:rsidR="002F479D" w:rsidRPr="00F15C89">
        <w:rPr>
          <w:rFonts w:ascii="Arial" w:hAnsi="Arial" w:cs="Arial"/>
          <w:color w:val="000000" w:themeColor="text1"/>
          <w:shd w:val="clear" w:color="auto" w:fill="FFFFFF"/>
        </w:rPr>
        <w:t xml:space="preserve">jejich </w:t>
      </w:r>
      <w:r w:rsidRPr="00F15C89">
        <w:rPr>
          <w:rFonts w:ascii="Arial" w:hAnsi="Arial" w:cs="Arial"/>
          <w:color w:val="000000" w:themeColor="text1"/>
          <w:shd w:val="clear" w:color="auto" w:fill="FFFFFF"/>
        </w:rPr>
        <w:t xml:space="preserve">pracovní výkon. </w:t>
      </w:r>
      <w:r w:rsidR="00A43419" w:rsidRPr="00F15C89">
        <w:rPr>
          <w:rFonts w:ascii="Arial" w:hAnsi="Arial" w:cs="Arial"/>
          <w:color w:val="000000" w:themeColor="text1"/>
          <w:shd w:val="clear" w:color="auto" w:fill="FFFFFF"/>
        </w:rPr>
        <w:t>V</w:t>
      </w:r>
      <w:r w:rsidR="00F13BB9" w:rsidRPr="00F15C89">
        <w:rPr>
          <w:rFonts w:ascii="Arial" w:hAnsi="Arial" w:cs="Arial"/>
          <w:color w:val="000000" w:themeColor="text1"/>
          <w:shd w:val="clear" w:color="auto" w:fill="FFFFFF"/>
        </w:rPr>
        <w:t> oblasti služeb fyzické ostrahy jsou v současné době pro zaměstnávání využívány dohody o provedení práce i v případech, kde vzhledem k dlouhodobému měsíčnímu objemu hodin poskytovanému ze strany BP nepřiléhají</w:t>
      </w:r>
      <w:r w:rsidR="007C2C02" w:rsidRPr="00F15C89">
        <w:rPr>
          <w:rFonts w:ascii="Arial" w:hAnsi="Arial" w:cs="Arial"/>
          <w:color w:val="000000" w:themeColor="text1"/>
          <w:shd w:val="clear" w:color="auto" w:fill="FFFFFF"/>
        </w:rPr>
        <w:t>,</w:t>
      </w:r>
      <w:r w:rsidR="00C325DB" w:rsidRPr="00F15C89">
        <w:rPr>
          <w:rFonts w:ascii="Arial" w:hAnsi="Arial" w:cs="Arial"/>
          <w:color w:val="000000" w:themeColor="text1"/>
          <w:shd w:val="clear" w:color="auto" w:fill="FFFFFF"/>
        </w:rPr>
        <w:t xml:space="preserve"> a </w:t>
      </w:r>
      <w:r w:rsidR="00A3589E" w:rsidRPr="00F15C89">
        <w:rPr>
          <w:rFonts w:ascii="Arial" w:hAnsi="Arial" w:cs="Arial"/>
          <w:color w:val="000000" w:themeColor="text1"/>
          <w:shd w:val="clear" w:color="auto" w:fill="FFFFFF"/>
        </w:rPr>
        <w:t xml:space="preserve">standard </w:t>
      </w:r>
      <w:r w:rsidR="00CF60DA" w:rsidRPr="00F15C89">
        <w:rPr>
          <w:rFonts w:ascii="Arial" w:hAnsi="Arial" w:cs="Arial"/>
          <w:color w:val="000000" w:themeColor="text1"/>
          <w:shd w:val="clear" w:color="auto" w:fill="FFFFFF"/>
        </w:rPr>
        <w:t xml:space="preserve">tento nesoulad </w:t>
      </w:r>
      <w:r w:rsidR="00DA4FAE" w:rsidRPr="00F15C89">
        <w:rPr>
          <w:rFonts w:ascii="Arial" w:hAnsi="Arial" w:cs="Arial"/>
          <w:color w:val="000000" w:themeColor="text1"/>
          <w:shd w:val="clear" w:color="auto" w:fill="FFFFFF"/>
        </w:rPr>
        <w:t xml:space="preserve">(způsobený tlakem na nejnižší nabídkovou cenu) </w:t>
      </w:r>
      <w:r w:rsidR="00CF60DA" w:rsidRPr="00F15C89">
        <w:rPr>
          <w:rFonts w:ascii="Arial" w:hAnsi="Arial" w:cs="Arial"/>
          <w:color w:val="000000" w:themeColor="text1"/>
          <w:shd w:val="clear" w:color="auto" w:fill="FFFFFF"/>
        </w:rPr>
        <w:t>vedoucí k nedůstojným pracovním podmínkám (za veřejné finance)</w:t>
      </w:r>
      <w:r w:rsidR="00A3589E" w:rsidRPr="00F15C89">
        <w:rPr>
          <w:rFonts w:ascii="Arial" w:hAnsi="Arial" w:cs="Arial"/>
          <w:color w:val="000000" w:themeColor="text1"/>
          <w:shd w:val="clear" w:color="auto" w:fill="FFFFFF"/>
        </w:rPr>
        <w:t xml:space="preserve"> nebonifikuje</w:t>
      </w:r>
      <w:r w:rsidR="007E220D" w:rsidRPr="00F15C89">
        <w:rPr>
          <w:rFonts w:ascii="Arial" w:hAnsi="Arial" w:cs="Arial"/>
          <w:color w:val="000000" w:themeColor="text1"/>
          <w:shd w:val="clear" w:color="auto" w:fill="FFFFFF"/>
        </w:rPr>
        <w:t>, naopak zvýhodňuje vyšší podíl</w:t>
      </w:r>
      <w:r w:rsidR="00584FC7" w:rsidRPr="00F15C89">
        <w:rPr>
          <w:rFonts w:ascii="Arial" w:hAnsi="Arial" w:cs="Arial"/>
          <w:color w:val="000000" w:themeColor="text1"/>
          <w:shd w:val="clear" w:color="auto" w:fill="FFFFFF"/>
        </w:rPr>
        <w:t xml:space="preserve"> plnění poskytovaný pracovníky v pracovním poměru</w:t>
      </w:r>
      <w:r w:rsidR="00F13BB9" w:rsidRPr="00F15C89">
        <w:rPr>
          <w:rFonts w:ascii="Arial" w:hAnsi="Arial" w:cs="Arial"/>
          <w:color w:val="000000" w:themeColor="text1"/>
          <w:shd w:val="clear" w:color="auto" w:fill="FFFFFF"/>
        </w:rPr>
        <w:t xml:space="preserve">. </w:t>
      </w:r>
    </w:p>
    <w:p w14:paraId="7E6E43A8" w14:textId="77777777" w:rsidR="00C325DB" w:rsidRPr="00F15C89" w:rsidRDefault="00C325DB" w:rsidP="00C325DB">
      <w:pPr>
        <w:spacing w:after="0" w:line="240" w:lineRule="auto"/>
        <w:ind w:firstLine="284"/>
        <w:jc w:val="both"/>
        <w:rPr>
          <w:rFonts w:ascii="Arial" w:hAnsi="Arial" w:cs="Arial"/>
          <w:color w:val="000000" w:themeColor="text1"/>
          <w:shd w:val="clear" w:color="auto" w:fill="FFFFFF"/>
        </w:rPr>
      </w:pPr>
    </w:p>
    <w:p w14:paraId="7FF043A8" w14:textId="572D42F3" w:rsidR="00F13BB9" w:rsidRPr="00F15C89" w:rsidRDefault="00F44A90" w:rsidP="008138CC">
      <w:pPr>
        <w:spacing w:after="0" w:line="240" w:lineRule="auto"/>
        <w:ind w:firstLine="426"/>
        <w:jc w:val="both"/>
        <w:rPr>
          <w:rFonts w:ascii="Arial" w:hAnsi="Arial" w:cs="Arial"/>
          <w:color w:val="000000" w:themeColor="text1"/>
        </w:rPr>
      </w:pPr>
      <w:r w:rsidRPr="00F15C89">
        <w:rPr>
          <w:rFonts w:ascii="Arial" w:hAnsi="Arial" w:cs="Arial"/>
          <w:color w:val="000000" w:themeColor="text1"/>
          <w:shd w:val="clear" w:color="auto" w:fill="FFFFFF"/>
        </w:rPr>
        <w:t xml:space="preserve">Protože jde o </w:t>
      </w:r>
      <w:r w:rsidR="00F13BB9" w:rsidRPr="00F15C89">
        <w:rPr>
          <w:rFonts w:ascii="Arial" w:hAnsi="Arial" w:cs="Arial"/>
          <w:color w:val="000000" w:themeColor="text1"/>
          <w:shd w:val="clear" w:color="auto" w:fill="FFFFFF"/>
        </w:rPr>
        <w:t>hodnotící kritéri</w:t>
      </w:r>
      <w:r w:rsidRPr="00F15C89">
        <w:rPr>
          <w:rFonts w:ascii="Arial" w:hAnsi="Arial" w:cs="Arial"/>
          <w:color w:val="000000" w:themeColor="text1"/>
          <w:shd w:val="clear" w:color="auto" w:fill="FFFFFF"/>
        </w:rPr>
        <w:t>um,</w:t>
      </w:r>
      <w:r w:rsidR="00F13BB9" w:rsidRPr="00F15C89">
        <w:rPr>
          <w:rFonts w:ascii="Arial" w:hAnsi="Arial" w:cs="Arial"/>
          <w:color w:val="000000" w:themeColor="text1"/>
          <w:shd w:val="clear" w:color="auto" w:fill="FFFFFF"/>
        </w:rPr>
        <w:t xml:space="preserve"> záleží na vůli dodavatele, zda </w:t>
      </w:r>
      <w:r w:rsidRPr="00F15C89">
        <w:rPr>
          <w:rFonts w:ascii="Arial" w:hAnsi="Arial" w:cs="Arial"/>
          <w:color w:val="000000" w:themeColor="text1"/>
          <w:shd w:val="clear" w:color="auto" w:fill="FFFFFF"/>
        </w:rPr>
        <w:t xml:space="preserve">a do jaké míry </w:t>
      </w:r>
      <w:r w:rsidR="00F13BB9" w:rsidRPr="00F15C89">
        <w:rPr>
          <w:rFonts w:ascii="Arial" w:hAnsi="Arial" w:cs="Arial"/>
          <w:color w:val="000000" w:themeColor="text1"/>
          <w:shd w:val="clear" w:color="auto" w:fill="FFFFFF"/>
        </w:rPr>
        <w:t>požadavkům zadavatele vyhoví</w:t>
      </w:r>
      <w:r w:rsidRPr="00F15C89">
        <w:rPr>
          <w:rFonts w:ascii="Arial" w:hAnsi="Arial" w:cs="Arial"/>
          <w:color w:val="000000" w:themeColor="text1"/>
          <w:shd w:val="clear" w:color="auto" w:fill="FFFFFF"/>
        </w:rPr>
        <w:t xml:space="preserve"> a je tak</w:t>
      </w:r>
      <w:r w:rsidR="00F13BB9" w:rsidRPr="00F15C89">
        <w:rPr>
          <w:rFonts w:ascii="Arial" w:hAnsi="Arial" w:cs="Arial"/>
          <w:color w:val="000000" w:themeColor="text1"/>
          <w:shd w:val="clear" w:color="auto" w:fill="FFFFFF"/>
        </w:rPr>
        <w:t xml:space="preserve"> respektována </w:t>
      </w:r>
      <w:r w:rsidR="00F13BB9" w:rsidRPr="00F15C89">
        <w:rPr>
          <w:rFonts w:ascii="Arial" w:hAnsi="Arial" w:cs="Arial"/>
          <w:color w:val="000000" w:themeColor="text1"/>
        </w:rPr>
        <w:t>smluvní volnost účastníků pracovněprávních vztahů poskytovaná zaměstnavatelům a zaměstnancům zákoníkem práce.</w:t>
      </w:r>
    </w:p>
    <w:p w14:paraId="6134DDFD" w14:textId="77777777" w:rsidR="0073503D" w:rsidRPr="00F15C89" w:rsidRDefault="0073503D" w:rsidP="00C325DB">
      <w:pPr>
        <w:spacing w:after="0" w:line="240" w:lineRule="auto"/>
        <w:ind w:firstLine="284"/>
        <w:jc w:val="both"/>
        <w:rPr>
          <w:rFonts w:ascii="Arial" w:hAnsi="Arial" w:cs="Arial"/>
        </w:rPr>
      </w:pPr>
    </w:p>
    <w:p w14:paraId="46729897" w14:textId="51B55D42" w:rsidR="00224CE9" w:rsidRPr="00F15C89" w:rsidRDefault="00224CE9" w:rsidP="00311001">
      <w:pPr>
        <w:pStyle w:val="Odstavecseseznamem"/>
        <w:numPr>
          <w:ilvl w:val="0"/>
          <w:numId w:val="38"/>
        </w:numPr>
        <w:spacing w:after="0" w:line="240" w:lineRule="auto"/>
        <w:ind w:left="284" w:hanging="284"/>
        <w:jc w:val="both"/>
        <w:rPr>
          <w:rFonts w:ascii="Arial" w:hAnsi="Arial" w:cs="Arial"/>
        </w:rPr>
      </w:pPr>
      <w:r w:rsidRPr="00F15C89">
        <w:rPr>
          <w:rFonts w:ascii="Arial" w:hAnsi="Arial" w:cs="Arial"/>
        </w:rPr>
        <w:t>Mzdová doložka ve smyslu vyhrazené změny závazku</w:t>
      </w:r>
    </w:p>
    <w:p w14:paraId="3F60886E" w14:textId="1249B7DC" w:rsidR="00F13BB9" w:rsidRPr="00F15C89" w:rsidRDefault="00F13BB9" w:rsidP="008138CC">
      <w:pPr>
        <w:spacing w:after="0" w:line="240" w:lineRule="auto"/>
        <w:ind w:firstLine="426"/>
        <w:jc w:val="both"/>
        <w:rPr>
          <w:rFonts w:ascii="Arial" w:hAnsi="Arial" w:cs="Arial"/>
        </w:rPr>
      </w:pPr>
      <w:r w:rsidRPr="00F15C89">
        <w:rPr>
          <w:rFonts w:ascii="Arial" w:hAnsi="Arial" w:cs="Arial"/>
        </w:rPr>
        <w:t xml:space="preserve">Mzdová doložka zajistí dodavatelům (za podmínek formulovaných ve smlouvě) </w:t>
      </w:r>
      <w:r w:rsidR="007331FD" w:rsidRPr="00F15C89">
        <w:rPr>
          <w:rFonts w:ascii="Arial" w:hAnsi="Arial" w:cs="Arial"/>
        </w:rPr>
        <w:t xml:space="preserve">nárok </w:t>
      </w:r>
      <w:r w:rsidR="004E7041">
        <w:rPr>
          <w:rFonts w:ascii="Arial" w:hAnsi="Arial" w:cs="Arial"/>
        </w:rPr>
        <w:br/>
      </w:r>
      <w:r w:rsidRPr="00F15C89">
        <w:rPr>
          <w:rFonts w:ascii="Arial" w:hAnsi="Arial" w:cs="Arial"/>
        </w:rPr>
        <w:t xml:space="preserve">na zvýšení odměny za plnění za předpokladu, že dojde ke zvýšení mzdových nákladů </w:t>
      </w:r>
      <w:r w:rsidR="004E7041">
        <w:rPr>
          <w:rFonts w:ascii="Arial" w:hAnsi="Arial" w:cs="Arial"/>
        </w:rPr>
        <w:br/>
      </w:r>
      <w:r w:rsidRPr="00F15C89">
        <w:rPr>
          <w:rFonts w:ascii="Arial" w:hAnsi="Arial" w:cs="Arial"/>
        </w:rPr>
        <w:t xml:space="preserve">na základě právní úpravy. Míra navýšení mzdových nákladů je pro dodavatele nepředvídatelná a bez mzdové doložky jsou nuceni tyto nepředvídatelné náklady započítávat do nabídkové ceny, která je předmětem soutěže. Předpokládanou hodnotu mzdové doložky/vyhrazené změny ceny </w:t>
      </w:r>
      <w:r w:rsidR="000B0621" w:rsidRPr="00F15C89">
        <w:rPr>
          <w:rFonts w:ascii="Arial" w:hAnsi="Arial" w:cs="Arial"/>
        </w:rPr>
        <w:t>zadavatel</w:t>
      </w:r>
      <w:r w:rsidR="00AA7D28" w:rsidRPr="00F15C89">
        <w:rPr>
          <w:rFonts w:ascii="Arial" w:hAnsi="Arial" w:cs="Arial"/>
        </w:rPr>
        <w:t xml:space="preserve"> promýšlí již předem, protože </w:t>
      </w:r>
      <w:r w:rsidRPr="00F15C89">
        <w:rPr>
          <w:rFonts w:ascii="Arial" w:hAnsi="Arial" w:cs="Arial"/>
        </w:rPr>
        <w:t xml:space="preserve">je nezbytné </w:t>
      </w:r>
      <w:r w:rsidR="00AA7D28" w:rsidRPr="00F15C89">
        <w:rPr>
          <w:rFonts w:ascii="Arial" w:hAnsi="Arial" w:cs="Arial"/>
        </w:rPr>
        <w:t xml:space="preserve">ji </w:t>
      </w:r>
      <w:r w:rsidRPr="00F15C89">
        <w:rPr>
          <w:rFonts w:ascii="Arial" w:hAnsi="Arial" w:cs="Arial"/>
        </w:rPr>
        <w:t xml:space="preserve">připočíst k předpokládané hodnotě veřejné zakázky. </w:t>
      </w:r>
      <w:r w:rsidR="001B06FD" w:rsidRPr="00F15C89">
        <w:rPr>
          <w:rFonts w:ascii="Arial" w:hAnsi="Arial" w:cs="Arial"/>
        </w:rPr>
        <w:t>N</w:t>
      </w:r>
      <w:r w:rsidR="001B06FD" w:rsidRPr="00F15C89">
        <w:rPr>
          <w:rFonts w:ascii="Arial" w:hAnsi="Arial" w:cs="Arial"/>
          <w:color w:val="000000" w:themeColor="text1"/>
        </w:rPr>
        <w:t xml:space="preserve">astavení mzdové doložky je nezbytné promyslet s ohledem na to, jak konkrétně zadavatel nastaví kritérium hodnocení „garantovaná výše mzdy BP“, jak v něm zohlední případný dvousměnný, vícesměnný či nepřetržitý pracovní režim BP dle § 78 odst.1 písm. c), d) a f) zákoníku práce a dle § 79 odst. 2 písm. b) a c) zákoníku práce a jak hodnocenou garanci promítne ve smlouvě. </w:t>
      </w:r>
      <w:r w:rsidR="00796F38" w:rsidRPr="00F15C89">
        <w:rPr>
          <w:rFonts w:ascii="Arial" w:hAnsi="Arial" w:cs="Arial"/>
          <w:color w:val="000000" w:themeColor="text1"/>
        </w:rPr>
        <w:t>Nezbytné je promyslet i související smluvní ustanovení</w:t>
      </w:r>
      <w:r w:rsidR="002030F4" w:rsidRPr="00F15C89">
        <w:rPr>
          <w:rFonts w:ascii="Arial" w:hAnsi="Arial" w:cs="Arial"/>
          <w:color w:val="000000" w:themeColor="text1"/>
        </w:rPr>
        <w:t xml:space="preserve"> a </w:t>
      </w:r>
      <w:r w:rsidRPr="00F15C89">
        <w:rPr>
          <w:rFonts w:ascii="Arial" w:hAnsi="Arial" w:cs="Arial"/>
        </w:rPr>
        <w:t>urč</w:t>
      </w:r>
      <w:r w:rsidR="002030F4" w:rsidRPr="00F15C89">
        <w:rPr>
          <w:rFonts w:ascii="Arial" w:hAnsi="Arial" w:cs="Arial"/>
        </w:rPr>
        <w:t>it v ní</w:t>
      </w:r>
      <w:r w:rsidRPr="00F15C89">
        <w:rPr>
          <w:rFonts w:ascii="Arial" w:hAnsi="Arial" w:cs="Arial"/>
        </w:rPr>
        <w:t xml:space="preserve"> podmínky, za nichž lze zvýšit odměnu dodavatele ve vazbě na zvýšení minimální mzdy dle nařízení vlády (příp. dle jiné aktuálně platné právní úpravy dopadající </w:t>
      </w:r>
      <w:r w:rsidR="00253421" w:rsidRPr="00F15C89">
        <w:rPr>
          <w:rFonts w:ascii="Arial" w:hAnsi="Arial" w:cs="Arial"/>
        </w:rPr>
        <w:t>na</w:t>
      </w:r>
      <w:r w:rsidR="00253421">
        <w:rPr>
          <w:rFonts w:ascii="Arial" w:hAnsi="Arial" w:cs="Arial"/>
        </w:rPr>
        <w:t> </w:t>
      </w:r>
      <w:r w:rsidRPr="00F15C89">
        <w:rPr>
          <w:rFonts w:ascii="Arial" w:hAnsi="Arial" w:cs="Arial"/>
        </w:rPr>
        <w:t>oblast služeb fyzické ostrahy a příslušnou skupinu/kategorii prací) a od kdy lze zvýšení odměny provést.</w:t>
      </w:r>
      <w:r w:rsidR="00C357A4" w:rsidRPr="00F15C89">
        <w:rPr>
          <w:rFonts w:ascii="Arial" w:hAnsi="Arial" w:cs="Arial"/>
        </w:rPr>
        <w:t xml:space="preserve"> Mzdová doložka je </w:t>
      </w:r>
      <w:r w:rsidR="009011EB" w:rsidRPr="00F15C89">
        <w:rPr>
          <w:rFonts w:ascii="Arial" w:hAnsi="Arial" w:cs="Arial"/>
        </w:rPr>
        <w:t xml:space="preserve">důležitou součástí sociálně zaměřeného odpovědného veřejného zadávání, protože navýšení minimální mzdy </w:t>
      </w:r>
      <w:r w:rsidR="007B394C" w:rsidRPr="00F15C89">
        <w:rPr>
          <w:rFonts w:ascii="Arial" w:hAnsi="Arial" w:cs="Arial"/>
        </w:rPr>
        <w:t>by se jinak mohlo projevit zhoršeným ohodnocením BP.</w:t>
      </w:r>
      <w:r w:rsidR="00C35E7F" w:rsidRPr="00F15C89">
        <w:rPr>
          <w:rFonts w:ascii="Arial" w:hAnsi="Arial" w:cs="Arial"/>
        </w:rPr>
        <w:t xml:space="preserve"> </w:t>
      </w:r>
    </w:p>
    <w:p w14:paraId="1C7CE595" w14:textId="77777777" w:rsidR="00311001" w:rsidRPr="00F15C89" w:rsidRDefault="00311001" w:rsidP="00311001">
      <w:pPr>
        <w:spacing w:after="0" w:line="240" w:lineRule="auto"/>
        <w:ind w:firstLine="284"/>
        <w:jc w:val="both"/>
        <w:rPr>
          <w:rFonts w:ascii="Arial" w:hAnsi="Arial" w:cs="Arial"/>
        </w:rPr>
      </w:pPr>
    </w:p>
    <w:p w14:paraId="77B4EDD2" w14:textId="11391686" w:rsidR="00224CE9" w:rsidRPr="00F15C89" w:rsidRDefault="00224CE9" w:rsidP="00311001">
      <w:pPr>
        <w:pStyle w:val="Odstavecseseznamem"/>
        <w:numPr>
          <w:ilvl w:val="0"/>
          <w:numId w:val="38"/>
        </w:numPr>
        <w:spacing w:after="0" w:line="240" w:lineRule="auto"/>
        <w:ind w:left="284" w:hanging="284"/>
        <w:jc w:val="both"/>
        <w:rPr>
          <w:rFonts w:ascii="Arial" w:hAnsi="Arial" w:cs="Arial"/>
        </w:rPr>
      </w:pPr>
      <w:r w:rsidRPr="00F15C89">
        <w:rPr>
          <w:rFonts w:ascii="Arial" w:hAnsi="Arial" w:cs="Arial"/>
        </w:rPr>
        <w:t>Test fyzické zdatnosti</w:t>
      </w:r>
    </w:p>
    <w:p w14:paraId="282AF936" w14:textId="4EFFF4F7" w:rsidR="006D741B" w:rsidRPr="00F15C89" w:rsidRDefault="00F13BB9" w:rsidP="008138CC">
      <w:pPr>
        <w:spacing w:after="0" w:line="240" w:lineRule="auto"/>
        <w:ind w:firstLine="426"/>
        <w:jc w:val="both"/>
        <w:rPr>
          <w:rFonts w:ascii="Arial" w:hAnsi="Arial" w:cs="Arial"/>
        </w:rPr>
      </w:pPr>
      <w:r w:rsidRPr="00F15C89">
        <w:rPr>
          <w:rFonts w:ascii="Arial" w:hAnsi="Arial" w:cs="Arial"/>
        </w:rPr>
        <w:t xml:space="preserve">Jedná se o zakotvení možnosti zadavatele před zapojením BP do plnění nebo později </w:t>
      </w:r>
      <w:r w:rsidR="00E1276A">
        <w:rPr>
          <w:rFonts w:ascii="Arial" w:hAnsi="Arial" w:cs="Arial"/>
        </w:rPr>
        <w:br/>
      </w:r>
      <w:r w:rsidRPr="00F15C89">
        <w:rPr>
          <w:rFonts w:ascii="Arial" w:hAnsi="Arial" w:cs="Arial"/>
        </w:rPr>
        <w:t xml:space="preserve">dle potřeby zadavatele provést test fyzické zdatnosti. </w:t>
      </w:r>
      <w:r w:rsidR="0029410D" w:rsidRPr="00F15C89">
        <w:rPr>
          <w:rFonts w:ascii="Arial" w:hAnsi="Arial" w:cs="Arial"/>
        </w:rPr>
        <w:t xml:space="preserve">Potřebu fyzické zdatnosti </w:t>
      </w:r>
      <w:r w:rsidR="00EC3671" w:rsidRPr="00F15C89">
        <w:rPr>
          <w:rFonts w:ascii="Arial" w:hAnsi="Arial" w:cs="Arial"/>
        </w:rPr>
        <w:t xml:space="preserve">a zní vyplývající náročnost </w:t>
      </w:r>
      <w:r w:rsidRPr="00F15C89">
        <w:rPr>
          <w:rFonts w:ascii="Arial" w:hAnsi="Arial" w:cs="Arial"/>
        </w:rPr>
        <w:t>testu fyzické zdatnosti</w:t>
      </w:r>
      <w:r w:rsidR="003041C8" w:rsidRPr="00F15C89">
        <w:rPr>
          <w:rFonts w:ascii="Arial" w:hAnsi="Arial" w:cs="Arial"/>
        </w:rPr>
        <w:t xml:space="preserve"> </w:t>
      </w:r>
      <w:r w:rsidR="00B10E00" w:rsidRPr="00F15C89">
        <w:rPr>
          <w:rFonts w:ascii="Arial" w:hAnsi="Arial" w:cs="Arial"/>
        </w:rPr>
        <w:t xml:space="preserve">si </w:t>
      </w:r>
      <w:r w:rsidR="00862D45" w:rsidRPr="00F15C89">
        <w:rPr>
          <w:rFonts w:ascii="Arial" w:hAnsi="Arial" w:cs="Arial"/>
        </w:rPr>
        <w:t>stanov</w:t>
      </w:r>
      <w:r w:rsidR="00B10E00" w:rsidRPr="00F15C89">
        <w:rPr>
          <w:rFonts w:ascii="Arial" w:hAnsi="Arial" w:cs="Arial"/>
        </w:rPr>
        <w:t>í</w:t>
      </w:r>
      <w:r w:rsidRPr="00F15C89">
        <w:rPr>
          <w:rFonts w:ascii="Arial" w:hAnsi="Arial" w:cs="Arial"/>
        </w:rPr>
        <w:t xml:space="preserve"> každý zadavatel individuálně s</w:t>
      </w:r>
      <w:r w:rsidR="00A96B42" w:rsidRPr="00F15C89">
        <w:rPr>
          <w:rFonts w:ascii="Arial" w:hAnsi="Arial" w:cs="Arial"/>
        </w:rPr>
        <w:t> </w:t>
      </w:r>
      <w:r w:rsidRPr="00F15C89">
        <w:rPr>
          <w:rFonts w:ascii="Arial" w:hAnsi="Arial" w:cs="Arial"/>
        </w:rPr>
        <w:t xml:space="preserve">ohledem na vlastní specifikaci předmětu plnění a fyzickou zátěž dané pozice. Zadavatel při nastavování testu fyzické zdatnosti </w:t>
      </w:r>
      <w:r w:rsidR="00403A2F" w:rsidRPr="00F15C89">
        <w:rPr>
          <w:rFonts w:ascii="Arial" w:hAnsi="Arial" w:cs="Arial"/>
        </w:rPr>
        <w:t xml:space="preserve">bude nejspíš </w:t>
      </w:r>
      <w:r w:rsidRPr="00F15C89">
        <w:rPr>
          <w:rFonts w:ascii="Arial" w:hAnsi="Arial" w:cs="Arial"/>
        </w:rPr>
        <w:t>vycház</w:t>
      </w:r>
      <w:r w:rsidR="00403A2F" w:rsidRPr="00F15C89">
        <w:rPr>
          <w:rFonts w:ascii="Arial" w:hAnsi="Arial" w:cs="Arial"/>
        </w:rPr>
        <w:t>et</w:t>
      </w:r>
      <w:r w:rsidRPr="00F15C89">
        <w:rPr>
          <w:rFonts w:ascii="Arial" w:hAnsi="Arial" w:cs="Arial"/>
        </w:rPr>
        <w:t xml:space="preserve"> z nejnáročnějších úkonů, vyplývajících </w:t>
      </w:r>
      <w:r w:rsidR="00E1276A">
        <w:rPr>
          <w:rFonts w:ascii="Arial" w:hAnsi="Arial" w:cs="Arial"/>
        </w:rPr>
        <w:br/>
      </w:r>
      <w:r w:rsidRPr="00F15C89">
        <w:rPr>
          <w:rFonts w:ascii="Arial" w:hAnsi="Arial" w:cs="Arial"/>
        </w:rPr>
        <w:t>z jednotlivých pozic a s</w:t>
      </w:r>
      <w:r w:rsidR="00EC3671" w:rsidRPr="00F15C89">
        <w:rPr>
          <w:rFonts w:ascii="Arial" w:hAnsi="Arial" w:cs="Arial"/>
        </w:rPr>
        <w:t> </w:t>
      </w:r>
      <w:r w:rsidRPr="00F15C89">
        <w:rPr>
          <w:rFonts w:ascii="Arial" w:hAnsi="Arial" w:cs="Arial"/>
        </w:rPr>
        <w:t xml:space="preserve">ohledem na nejvzdálenější místa ve strážených objektech, na nichž </w:t>
      </w:r>
      <w:r w:rsidR="00E1276A">
        <w:rPr>
          <w:rFonts w:ascii="Arial" w:hAnsi="Arial" w:cs="Arial"/>
        </w:rPr>
        <w:br/>
      </w:r>
      <w:r w:rsidRPr="00F15C89">
        <w:rPr>
          <w:rFonts w:ascii="Arial" w:hAnsi="Arial" w:cs="Arial"/>
        </w:rPr>
        <w:lastRenderedPageBreak/>
        <w:t>k nim může dojít.</w:t>
      </w:r>
      <w:r w:rsidR="00403A2F" w:rsidRPr="00F15C89">
        <w:rPr>
          <w:rFonts w:ascii="Arial" w:hAnsi="Arial" w:cs="Arial"/>
        </w:rPr>
        <w:t xml:space="preserve"> Nejde o povinnost zadavatele test fyzické zdatnosti provádět</w:t>
      </w:r>
      <w:r w:rsidR="00272AFC" w:rsidRPr="00F15C89">
        <w:rPr>
          <w:rFonts w:ascii="Arial" w:hAnsi="Arial" w:cs="Arial"/>
        </w:rPr>
        <w:t xml:space="preserve">, ale o pravidlo, které mu pomůže pro případy, kdy BP zjevně nejsou </w:t>
      </w:r>
      <w:r w:rsidR="00F76A10" w:rsidRPr="00F15C89">
        <w:rPr>
          <w:rFonts w:ascii="Arial" w:hAnsi="Arial" w:cs="Arial"/>
        </w:rPr>
        <w:t xml:space="preserve">fyzicky zdatní provést potřebné úkony (typicky to může být </w:t>
      </w:r>
      <w:r w:rsidR="009A489F" w:rsidRPr="00F15C89">
        <w:rPr>
          <w:rFonts w:ascii="Arial" w:hAnsi="Arial" w:cs="Arial"/>
        </w:rPr>
        <w:t>dojí</w:t>
      </w:r>
      <w:r w:rsidR="005209B0" w:rsidRPr="00F15C89">
        <w:rPr>
          <w:rFonts w:ascii="Arial" w:hAnsi="Arial" w:cs="Arial"/>
        </w:rPr>
        <w:t>t v určitém čase na vzdálené místo objektu apod.)</w:t>
      </w:r>
      <w:r w:rsidR="0096380B" w:rsidRPr="00F15C89">
        <w:rPr>
          <w:rFonts w:ascii="Arial" w:hAnsi="Arial" w:cs="Arial"/>
        </w:rPr>
        <w:t xml:space="preserve"> Nastavení podmínek</w:t>
      </w:r>
      <w:r w:rsidR="008638A3" w:rsidRPr="00F15C89">
        <w:rPr>
          <w:rFonts w:ascii="Arial" w:hAnsi="Arial" w:cs="Arial"/>
        </w:rPr>
        <w:t xml:space="preserve">, např. že </w:t>
      </w:r>
      <w:r w:rsidRPr="00F15C89">
        <w:rPr>
          <w:rFonts w:ascii="Arial" w:hAnsi="Arial" w:cs="Arial"/>
        </w:rPr>
        <w:t xml:space="preserve">BP </w:t>
      </w:r>
      <w:r w:rsidR="008638A3" w:rsidRPr="00F15C89">
        <w:rPr>
          <w:rFonts w:ascii="Arial" w:hAnsi="Arial" w:cs="Arial"/>
        </w:rPr>
        <w:t>absolvuje</w:t>
      </w:r>
      <w:r w:rsidRPr="00F15C89">
        <w:rPr>
          <w:rFonts w:ascii="Arial" w:hAnsi="Arial" w:cs="Arial"/>
        </w:rPr>
        <w:t xml:space="preserve"> test fyzické zdatnosti provést</w:t>
      </w:r>
      <w:r w:rsidR="008638A3" w:rsidRPr="00F15C89">
        <w:rPr>
          <w:rFonts w:ascii="Arial" w:hAnsi="Arial" w:cs="Arial"/>
        </w:rPr>
        <w:t xml:space="preserve"> </w:t>
      </w:r>
      <w:r w:rsidRPr="00F15C89">
        <w:rPr>
          <w:rFonts w:ascii="Arial" w:hAnsi="Arial" w:cs="Arial"/>
        </w:rPr>
        <w:t>za účasti zástupce zadavatele i dodavatele (</w:t>
      </w:r>
      <w:r w:rsidR="00CF7F22" w:rsidRPr="00F15C89">
        <w:rPr>
          <w:rFonts w:ascii="Arial" w:hAnsi="Arial" w:cs="Arial"/>
        </w:rPr>
        <w:t xml:space="preserve">případně </w:t>
      </w:r>
      <w:r w:rsidR="006A0D65" w:rsidRPr="00F15C89">
        <w:rPr>
          <w:rFonts w:ascii="Arial" w:hAnsi="Arial" w:cs="Arial"/>
        </w:rPr>
        <w:t xml:space="preserve">lze ve </w:t>
      </w:r>
      <w:r w:rsidRPr="00F15C89">
        <w:rPr>
          <w:rFonts w:ascii="Arial" w:hAnsi="Arial" w:cs="Arial"/>
        </w:rPr>
        <w:t>smlouvě sjednat i povinnou účast</w:t>
      </w:r>
      <w:r w:rsidR="006A0D65" w:rsidRPr="00F15C89">
        <w:rPr>
          <w:rFonts w:ascii="Arial" w:hAnsi="Arial" w:cs="Arial"/>
        </w:rPr>
        <w:t>i</w:t>
      </w:r>
      <w:r w:rsidRPr="00F15C89">
        <w:rPr>
          <w:rFonts w:ascii="Arial" w:hAnsi="Arial" w:cs="Arial"/>
        </w:rPr>
        <w:t xml:space="preserve"> další strany</w:t>
      </w:r>
      <w:r w:rsidR="001975A5" w:rsidRPr="00F15C89">
        <w:rPr>
          <w:rFonts w:ascii="Arial" w:hAnsi="Arial" w:cs="Arial"/>
        </w:rPr>
        <w:t>, např. policejní akademie</w:t>
      </w:r>
      <w:r w:rsidRPr="00F15C89">
        <w:rPr>
          <w:rFonts w:ascii="Arial" w:hAnsi="Arial" w:cs="Arial"/>
        </w:rPr>
        <w:t>)</w:t>
      </w:r>
      <w:r w:rsidR="008638A3" w:rsidRPr="00F15C89">
        <w:rPr>
          <w:rFonts w:ascii="Arial" w:hAnsi="Arial" w:cs="Arial"/>
        </w:rPr>
        <w:t>, si st</w:t>
      </w:r>
      <w:r w:rsidR="001975A5" w:rsidRPr="00F15C89">
        <w:rPr>
          <w:rFonts w:ascii="Arial" w:hAnsi="Arial" w:cs="Arial"/>
        </w:rPr>
        <w:t>anoví zadavatel podle svých potřeb</w:t>
      </w:r>
      <w:r w:rsidRPr="00F15C89">
        <w:rPr>
          <w:rFonts w:ascii="Arial" w:hAnsi="Arial" w:cs="Arial"/>
        </w:rPr>
        <w:t xml:space="preserve">. Nesplnění testu fyzické zdatnosti BP dodavateli </w:t>
      </w:r>
      <w:r w:rsidR="00EC3671" w:rsidRPr="00F15C89">
        <w:rPr>
          <w:rFonts w:ascii="Arial" w:hAnsi="Arial" w:cs="Arial"/>
        </w:rPr>
        <w:t xml:space="preserve">by pak zakládalo </w:t>
      </w:r>
      <w:r w:rsidRPr="00F15C89">
        <w:rPr>
          <w:rFonts w:ascii="Arial" w:hAnsi="Arial" w:cs="Arial"/>
        </w:rPr>
        <w:t xml:space="preserve">povinnost na žádost zadavatele BP nahradit jiným. </w:t>
      </w:r>
    </w:p>
    <w:p w14:paraId="2E1C7F44" w14:textId="77777777" w:rsidR="001975A5" w:rsidRPr="00F15C89" w:rsidRDefault="001975A5" w:rsidP="008638A3">
      <w:pPr>
        <w:spacing w:after="0" w:line="240" w:lineRule="auto"/>
        <w:ind w:firstLine="284"/>
        <w:jc w:val="both"/>
        <w:rPr>
          <w:rFonts w:ascii="Arial" w:hAnsi="Arial" w:cs="Arial"/>
        </w:rPr>
      </w:pPr>
    </w:p>
    <w:p w14:paraId="1E84E4A0" w14:textId="77BF341F" w:rsidR="00224CE9" w:rsidRPr="00F15C89" w:rsidRDefault="00224CE9" w:rsidP="00311001">
      <w:pPr>
        <w:pStyle w:val="Odstavecseseznamem"/>
        <w:numPr>
          <w:ilvl w:val="0"/>
          <w:numId w:val="38"/>
        </w:numPr>
        <w:spacing w:after="0" w:line="240" w:lineRule="auto"/>
        <w:ind w:left="284" w:hanging="284"/>
        <w:jc w:val="both"/>
        <w:rPr>
          <w:rFonts w:ascii="Arial" w:hAnsi="Arial" w:cs="Arial"/>
        </w:rPr>
      </w:pPr>
      <w:r w:rsidRPr="00F15C89">
        <w:rPr>
          <w:rFonts w:ascii="Arial" w:hAnsi="Arial" w:cs="Arial"/>
        </w:rPr>
        <w:t xml:space="preserve">Vyhrazená </w:t>
      </w:r>
      <w:r w:rsidR="00F73717" w:rsidRPr="00F15C89">
        <w:rPr>
          <w:rFonts w:ascii="Arial" w:hAnsi="Arial" w:cs="Arial"/>
        </w:rPr>
        <w:t>změna závazku změnou dodavatele</w:t>
      </w:r>
    </w:p>
    <w:p w14:paraId="27725E81" w14:textId="21E2539B" w:rsidR="00B1722B" w:rsidRPr="00F15C89" w:rsidRDefault="00F13BB9" w:rsidP="008138CC">
      <w:pPr>
        <w:spacing w:after="0" w:line="240" w:lineRule="auto"/>
        <w:ind w:firstLine="426"/>
        <w:jc w:val="both"/>
        <w:rPr>
          <w:rFonts w:ascii="Arial" w:hAnsi="Arial" w:cs="Arial"/>
        </w:rPr>
      </w:pPr>
      <w:r w:rsidRPr="00F15C89">
        <w:rPr>
          <w:rFonts w:ascii="Arial" w:hAnsi="Arial" w:cs="Arial"/>
        </w:rPr>
        <w:t>Jedná se o zakotvení možnosti zadavatele uzavřít smlouvu s jiným účastníkem zadávacího řízení</w:t>
      </w:r>
      <w:r w:rsidR="00B077CA" w:rsidRPr="00F15C89">
        <w:rPr>
          <w:rFonts w:ascii="Arial" w:hAnsi="Arial" w:cs="Arial"/>
        </w:rPr>
        <w:t xml:space="preserve"> (v souladu se ZZVZ)</w:t>
      </w:r>
      <w:r w:rsidRPr="00F15C89">
        <w:rPr>
          <w:rFonts w:ascii="Arial" w:hAnsi="Arial" w:cs="Arial"/>
        </w:rPr>
        <w:t xml:space="preserve">, bude-li </w:t>
      </w:r>
      <w:r w:rsidR="00EC3671" w:rsidRPr="00F15C89">
        <w:rPr>
          <w:rFonts w:ascii="Arial" w:hAnsi="Arial" w:cs="Arial"/>
        </w:rPr>
        <w:t xml:space="preserve">předčasně </w:t>
      </w:r>
      <w:r w:rsidRPr="00F15C89">
        <w:rPr>
          <w:rFonts w:ascii="Arial" w:hAnsi="Arial" w:cs="Arial"/>
        </w:rPr>
        <w:t>ukončeno plnění na základě smlouvy uzavřené s původně vybraným účastníkem zadávacího řízení</w:t>
      </w:r>
      <w:r w:rsidR="00EC3671" w:rsidRPr="00F15C89">
        <w:rPr>
          <w:rFonts w:ascii="Arial" w:hAnsi="Arial" w:cs="Arial"/>
        </w:rPr>
        <w:t xml:space="preserve"> v důsledku jejího podstatného porušení</w:t>
      </w:r>
      <w:r w:rsidRPr="00F15C89">
        <w:rPr>
          <w:rFonts w:ascii="Arial" w:hAnsi="Arial" w:cs="Arial"/>
        </w:rPr>
        <w:t xml:space="preserve">. </w:t>
      </w:r>
      <w:r w:rsidR="00F7403C" w:rsidRPr="00F15C89">
        <w:rPr>
          <w:rFonts w:ascii="Arial" w:hAnsi="Arial" w:cs="Arial"/>
        </w:rPr>
        <w:t>V</w:t>
      </w:r>
      <w:r w:rsidRPr="00F15C89">
        <w:rPr>
          <w:rFonts w:ascii="Arial" w:hAnsi="Arial" w:cs="Arial"/>
        </w:rPr>
        <w:t xml:space="preserve"> oblasti služeb fyzické ostrahy lze </w:t>
      </w:r>
      <w:r w:rsidR="00F7403C" w:rsidRPr="00F15C89">
        <w:rPr>
          <w:rFonts w:ascii="Arial" w:hAnsi="Arial" w:cs="Arial"/>
        </w:rPr>
        <w:t xml:space="preserve">takovou výměnu </w:t>
      </w:r>
      <w:r w:rsidRPr="00F15C89">
        <w:rPr>
          <w:rFonts w:ascii="Arial" w:hAnsi="Arial" w:cs="Arial"/>
        </w:rPr>
        <w:t>realizovat, aniž by vznikaly těžko překonatelné překážky.</w:t>
      </w:r>
      <w:r w:rsidR="003457E3" w:rsidRPr="00F15C89">
        <w:rPr>
          <w:rFonts w:ascii="Arial" w:hAnsi="Arial" w:cs="Arial"/>
        </w:rPr>
        <w:t xml:space="preserve"> Zakotvení výhrady je důležitým doplňujícím aspektem standardů OVZ pro případ, kdy dochází ze strany původně vybraného dodavatele k porušování smlouvy (a tedy</w:t>
      </w:r>
      <w:r w:rsidR="003041C8" w:rsidRPr="00F15C89">
        <w:rPr>
          <w:rFonts w:ascii="Arial" w:hAnsi="Arial" w:cs="Arial"/>
        </w:rPr>
        <w:t xml:space="preserve"> </w:t>
      </w:r>
      <w:r w:rsidR="00E8088F" w:rsidRPr="00F15C89">
        <w:rPr>
          <w:rFonts w:ascii="Arial" w:hAnsi="Arial" w:cs="Arial"/>
        </w:rPr>
        <w:t xml:space="preserve">případně </w:t>
      </w:r>
      <w:r w:rsidR="003457E3" w:rsidRPr="00F15C89">
        <w:rPr>
          <w:rFonts w:ascii="Arial" w:hAnsi="Arial" w:cs="Arial"/>
        </w:rPr>
        <w:t>i těchto standardů).</w:t>
      </w:r>
      <w:r w:rsidR="00B1722B" w:rsidRPr="00F15C89">
        <w:rPr>
          <w:rFonts w:ascii="Arial" w:hAnsi="Arial" w:cs="Arial"/>
        </w:rPr>
        <w:t xml:space="preserve"> </w:t>
      </w:r>
    </w:p>
    <w:p w14:paraId="066B5DE3" w14:textId="729F6340" w:rsidR="00F13BB9" w:rsidRPr="00F15C89" w:rsidRDefault="00F13BB9" w:rsidP="00311001">
      <w:pPr>
        <w:spacing w:after="0" w:line="240" w:lineRule="auto"/>
        <w:ind w:firstLine="284"/>
        <w:jc w:val="both"/>
        <w:rPr>
          <w:rFonts w:ascii="Arial" w:hAnsi="Arial" w:cs="Arial"/>
        </w:rPr>
      </w:pPr>
      <w:r w:rsidRPr="00F15C89">
        <w:rPr>
          <w:rFonts w:ascii="Arial" w:hAnsi="Arial" w:cs="Arial"/>
        </w:rPr>
        <w:t xml:space="preserve"> </w:t>
      </w:r>
    </w:p>
    <w:p w14:paraId="2B4B2D3A" w14:textId="77777777" w:rsidR="00AE5A0F" w:rsidRPr="00F15C89" w:rsidRDefault="00AE5A0F">
      <w:pPr>
        <w:rPr>
          <w:rStyle w:val="normaltextrun"/>
          <w:rFonts w:ascii="Arial" w:hAnsi="Arial" w:cs="Arial"/>
          <w:b/>
          <w:bCs/>
          <w:color w:val="000000"/>
          <w:shd w:val="clear" w:color="auto" w:fill="FFFFFF"/>
        </w:rPr>
      </w:pPr>
      <w:r w:rsidRPr="00F15C89">
        <w:rPr>
          <w:rStyle w:val="normaltextrun"/>
          <w:rFonts w:ascii="Arial" w:hAnsi="Arial" w:cs="Arial"/>
          <w:b/>
          <w:bCs/>
          <w:color w:val="000000"/>
          <w:shd w:val="clear" w:color="auto" w:fill="FFFFFF"/>
        </w:rPr>
        <w:br w:type="page"/>
      </w:r>
    </w:p>
    <w:p w14:paraId="464563F9" w14:textId="31602616" w:rsidR="00F13BB9" w:rsidRPr="00F15C89" w:rsidRDefault="00F13BB9" w:rsidP="00B46EEA">
      <w:pPr>
        <w:pStyle w:val="Nadpis1"/>
        <w:rPr>
          <w:rStyle w:val="normaltextrun"/>
          <w:rFonts w:cs="Arial"/>
          <w:color w:val="000000"/>
          <w:sz w:val="22"/>
          <w:szCs w:val="22"/>
          <w:shd w:val="clear" w:color="auto" w:fill="FFFFFF"/>
        </w:rPr>
      </w:pPr>
      <w:bookmarkStart w:id="10" w:name="_Toc197677980"/>
      <w:bookmarkStart w:id="11" w:name="_Toc198290967"/>
      <w:r w:rsidRPr="00F15C89">
        <w:rPr>
          <w:rStyle w:val="normaltextrun"/>
          <w:rFonts w:cs="Arial"/>
          <w:color w:val="000000"/>
          <w:sz w:val="22"/>
          <w:szCs w:val="22"/>
          <w:shd w:val="clear" w:color="auto" w:fill="FFFFFF"/>
        </w:rPr>
        <w:lastRenderedPageBreak/>
        <w:t xml:space="preserve">Minimální standardy </w:t>
      </w:r>
      <w:r w:rsidRPr="00F15C89">
        <w:rPr>
          <w:rStyle w:val="eop"/>
          <w:rFonts w:cs="Arial"/>
          <w:color w:val="000000"/>
          <w:sz w:val="22"/>
          <w:szCs w:val="22"/>
          <w:shd w:val="clear" w:color="auto" w:fill="FFFFFF"/>
        </w:rPr>
        <w:t xml:space="preserve">OVZ </w:t>
      </w:r>
      <w:r w:rsidRPr="00F15C89">
        <w:rPr>
          <w:rStyle w:val="normaltextrun"/>
          <w:rFonts w:cs="Arial"/>
          <w:color w:val="000000"/>
          <w:sz w:val="22"/>
          <w:szCs w:val="22"/>
          <w:shd w:val="clear" w:color="auto" w:fill="FFFFFF"/>
        </w:rPr>
        <w:t>pro zajištění stravovacích služeb</w:t>
      </w:r>
      <w:bookmarkEnd w:id="10"/>
      <w:bookmarkEnd w:id="11"/>
    </w:p>
    <w:p w14:paraId="702515A6" w14:textId="77777777" w:rsidR="002A241F" w:rsidRPr="00F15C89" w:rsidRDefault="002A241F" w:rsidP="00DC0D13">
      <w:pPr>
        <w:pStyle w:val="Titulek"/>
        <w:spacing w:after="0"/>
        <w:jc w:val="both"/>
        <w:rPr>
          <w:rFonts w:ascii="Arial" w:hAnsi="Arial" w:cs="Arial"/>
          <w:sz w:val="22"/>
          <w:szCs w:val="22"/>
        </w:rPr>
      </w:pPr>
      <w:bookmarkStart w:id="12" w:name="_Toc194053151"/>
    </w:p>
    <w:p w14:paraId="7457AB9E" w14:textId="1623A2B1" w:rsidR="00F13BB9" w:rsidRPr="00F15C89" w:rsidRDefault="002A241F" w:rsidP="00DC0D13">
      <w:pPr>
        <w:pStyle w:val="Titulek"/>
        <w:spacing w:after="0"/>
        <w:jc w:val="both"/>
        <w:rPr>
          <w:rFonts w:ascii="Arial" w:hAnsi="Arial" w:cs="Arial"/>
          <w:sz w:val="22"/>
          <w:szCs w:val="22"/>
        </w:rPr>
      </w:pPr>
      <w:r w:rsidRPr="00F15C89">
        <w:rPr>
          <w:rFonts w:ascii="Arial" w:hAnsi="Arial" w:cs="Arial"/>
          <w:sz w:val="22"/>
          <w:szCs w:val="22"/>
        </w:rPr>
        <w:t>T</w:t>
      </w:r>
      <w:r w:rsidR="00B6311A" w:rsidRPr="00F15C89">
        <w:rPr>
          <w:rFonts w:ascii="Arial" w:hAnsi="Arial" w:cs="Arial"/>
          <w:sz w:val="22"/>
          <w:szCs w:val="22"/>
        </w:rPr>
        <w:t xml:space="preserve">abulka </w:t>
      </w:r>
      <w:r w:rsidR="00B6311A" w:rsidRPr="00F15C89">
        <w:rPr>
          <w:rFonts w:ascii="Arial" w:hAnsi="Arial" w:cs="Arial"/>
          <w:sz w:val="22"/>
          <w:szCs w:val="22"/>
        </w:rPr>
        <w:fldChar w:fldCharType="begin"/>
      </w:r>
      <w:r w:rsidR="00B6311A" w:rsidRPr="00F15C89">
        <w:rPr>
          <w:rFonts w:ascii="Arial" w:hAnsi="Arial" w:cs="Arial"/>
          <w:sz w:val="22"/>
          <w:szCs w:val="22"/>
        </w:rPr>
        <w:instrText xml:space="preserve"> SEQ Tabulka \* ARABIC </w:instrText>
      </w:r>
      <w:r w:rsidR="00B6311A" w:rsidRPr="00F15C89">
        <w:rPr>
          <w:rFonts w:ascii="Arial" w:hAnsi="Arial" w:cs="Arial"/>
          <w:sz w:val="22"/>
          <w:szCs w:val="22"/>
        </w:rPr>
        <w:fldChar w:fldCharType="separate"/>
      </w:r>
      <w:r w:rsidR="00C96A9F" w:rsidRPr="00F15C89">
        <w:rPr>
          <w:rFonts w:ascii="Arial" w:hAnsi="Arial" w:cs="Arial"/>
          <w:noProof/>
          <w:sz w:val="22"/>
          <w:szCs w:val="22"/>
        </w:rPr>
        <w:t>5</w:t>
      </w:r>
      <w:r w:rsidR="00B6311A" w:rsidRPr="00F15C89">
        <w:rPr>
          <w:rFonts w:ascii="Arial" w:hAnsi="Arial" w:cs="Arial"/>
          <w:sz w:val="22"/>
          <w:szCs w:val="22"/>
        </w:rPr>
        <w:fldChar w:fldCharType="end"/>
      </w:r>
      <w:r w:rsidR="003827D8" w:rsidRPr="00F15C89">
        <w:rPr>
          <w:rFonts w:ascii="Arial" w:hAnsi="Arial" w:cs="Arial"/>
          <w:sz w:val="22"/>
          <w:szCs w:val="22"/>
        </w:rPr>
        <w:t xml:space="preserve"> Finanční objemy VZ pro </w:t>
      </w:r>
      <w:r w:rsidR="00906714" w:rsidRPr="00F15C89">
        <w:rPr>
          <w:rFonts w:ascii="Arial" w:hAnsi="Arial" w:cs="Arial"/>
          <w:sz w:val="22"/>
          <w:szCs w:val="22"/>
        </w:rPr>
        <w:t>stravovací služby</w:t>
      </w:r>
      <w:bookmarkEnd w:id="12"/>
    </w:p>
    <w:tbl>
      <w:tblPr>
        <w:tblStyle w:val="Mkatabulky"/>
        <w:tblW w:w="5382" w:type="dxa"/>
        <w:tblLook w:val="04A0" w:firstRow="1" w:lastRow="0" w:firstColumn="1" w:lastColumn="0" w:noHBand="0" w:noVBand="1"/>
      </w:tblPr>
      <w:tblGrid>
        <w:gridCol w:w="2689"/>
        <w:gridCol w:w="2693"/>
      </w:tblGrid>
      <w:tr w:rsidR="005F01E2" w:rsidRPr="00F15C89" w14:paraId="3BA07DD5" w14:textId="77777777" w:rsidTr="00A675D5">
        <w:tc>
          <w:tcPr>
            <w:tcW w:w="2689" w:type="dxa"/>
          </w:tcPr>
          <w:p w14:paraId="5393C7FD" w14:textId="173EB973" w:rsidR="005F01E2" w:rsidRPr="00F15C89" w:rsidRDefault="005F01E2" w:rsidP="00F35517">
            <w:pPr>
              <w:jc w:val="both"/>
              <w:rPr>
                <w:rFonts w:ascii="Arial" w:hAnsi="Arial" w:cs="Arial"/>
              </w:rPr>
            </w:pPr>
            <w:r w:rsidRPr="00F15C89">
              <w:rPr>
                <w:rFonts w:ascii="Arial" w:hAnsi="Arial" w:cs="Arial"/>
              </w:rPr>
              <w:t xml:space="preserve">Objem VZ </w:t>
            </w:r>
            <w:r w:rsidR="00993B6E" w:rsidRPr="00F15C89">
              <w:rPr>
                <w:rFonts w:ascii="Arial" w:hAnsi="Arial" w:cs="Arial"/>
              </w:rPr>
              <w:t>za</w:t>
            </w:r>
            <w:r w:rsidR="003D066C" w:rsidRPr="00F15C89">
              <w:rPr>
                <w:rFonts w:ascii="Arial" w:hAnsi="Arial" w:cs="Arial"/>
              </w:rPr>
              <w:t xml:space="preserve"> rok </w:t>
            </w:r>
            <w:r w:rsidRPr="00F15C89">
              <w:rPr>
                <w:rFonts w:ascii="Arial" w:hAnsi="Arial" w:cs="Arial"/>
              </w:rPr>
              <w:t>2022</w:t>
            </w:r>
          </w:p>
        </w:tc>
        <w:tc>
          <w:tcPr>
            <w:tcW w:w="2693" w:type="dxa"/>
          </w:tcPr>
          <w:p w14:paraId="676C2A52" w14:textId="154F7F2A" w:rsidR="005F01E2" w:rsidRPr="00F15C89" w:rsidRDefault="005F01E2" w:rsidP="00F35517">
            <w:pPr>
              <w:jc w:val="both"/>
              <w:rPr>
                <w:rFonts w:ascii="Arial" w:hAnsi="Arial" w:cs="Arial"/>
              </w:rPr>
            </w:pPr>
            <w:r w:rsidRPr="00F15C89">
              <w:rPr>
                <w:rFonts w:ascii="Arial" w:hAnsi="Arial" w:cs="Arial"/>
              </w:rPr>
              <w:t xml:space="preserve">Objem VZ </w:t>
            </w:r>
            <w:r w:rsidR="00993B6E" w:rsidRPr="00F15C89">
              <w:rPr>
                <w:rFonts w:ascii="Arial" w:hAnsi="Arial" w:cs="Arial"/>
              </w:rPr>
              <w:t>za</w:t>
            </w:r>
            <w:r w:rsidR="003D066C" w:rsidRPr="00F15C89">
              <w:rPr>
                <w:rFonts w:ascii="Arial" w:hAnsi="Arial" w:cs="Arial"/>
              </w:rPr>
              <w:t xml:space="preserve"> rok </w:t>
            </w:r>
            <w:r w:rsidRPr="00F15C89">
              <w:rPr>
                <w:rFonts w:ascii="Arial" w:hAnsi="Arial" w:cs="Arial"/>
              </w:rPr>
              <w:t>2023</w:t>
            </w:r>
          </w:p>
        </w:tc>
      </w:tr>
      <w:tr w:rsidR="005F01E2" w:rsidRPr="00F15C89" w14:paraId="50BACA53" w14:textId="77777777" w:rsidTr="00A675D5">
        <w:tc>
          <w:tcPr>
            <w:tcW w:w="2689" w:type="dxa"/>
          </w:tcPr>
          <w:p w14:paraId="2CC2CFF8" w14:textId="70CD1973" w:rsidR="005F01E2" w:rsidRPr="00F15C89" w:rsidRDefault="00274683" w:rsidP="00F35517">
            <w:pPr>
              <w:jc w:val="both"/>
              <w:rPr>
                <w:rFonts w:ascii="Arial" w:hAnsi="Arial" w:cs="Arial"/>
              </w:rPr>
            </w:pPr>
            <w:r w:rsidRPr="00F15C89">
              <w:rPr>
                <w:rFonts w:ascii="Arial" w:hAnsi="Arial" w:cs="Arial"/>
              </w:rPr>
              <w:t>1</w:t>
            </w:r>
            <w:r w:rsidR="005F01E2" w:rsidRPr="00F15C89">
              <w:rPr>
                <w:rFonts w:ascii="Arial" w:hAnsi="Arial" w:cs="Arial"/>
              </w:rPr>
              <w:t>,</w:t>
            </w:r>
            <w:r w:rsidRPr="00F15C89">
              <w:rPr>
                <w:rFonts w:ascii="Arial" w:hAnsi="Arial" w:cs="Arial"/>
              </w:rPr>
              <w:t>4</w:t>
            </w:r>
            <w:r w:rsidR="005F01E2" w:rsidRPr="00F15C89">
              <w:rPr>
                <w:rFonts w:ascii="Arial" w:hAnsi="Arial" w:cs="Arial"/>
              </w:rPr>
              <w:t xml:space="preserve"> mld. Kč</w:t>
            </w:r>
          </w:p>
        </w:tc>
        <w:tc>
          <w:tcPr>
            <w:tcW w:w="2693" w:type="dxa"/>
          </w:tcPr>
          <w:p w14:paraId="48B1313D" w14:textId="4B2EDE1E" w:rsidR="005F01E2" w:rsidRPr="00F15C89" w:rsidRDefault="00274683" w:rsidP="00F35517">
            <w:pPr>
              <w:jc w:val="both"/>
              <w:rPr>
                <w:rFonts w:ascii="Arial" w:hAnsi="Arial" w:cs="Arial"/>
              </w:rPr>
            </w:pPr>
            <w:r w:rsidRPr="00F15C89">
              <w:rPr>
                <w:rFonts w:ascii="Arial" w:hAnsi="Arial" w:cs="Arial"/>
              </w:rPr>
              <w:t>2</w:t>
            </w:r>
            <w:r w:rsidR="005F01E2" w:rsidRPr="00F15C89">
              <w:rPr>
                <w:rFonts w:ascii="Arial" w:hAnsi="Arial" w:cs="Arial"/>
              </w:rPr>
              <w:t>,</w:t>
            </w:r>
            <w:r w:rsidRPr="00F15C89">
              <w:rPr>
                <w:rFonts w:ascii="Arial" w:hAnsi="Arial" w:cs="Arial"/>
              </w:rPr>
              <w:t>7</w:t>
            </w:r>
            <w:r w:rsidR="005F01E2" w:rsidRPr="00F15C89">
              <w:rPr>
                <w:rFonts w:ascii="Arial" w:hAnsi="Arial" w:cs="Arial"/>
              </w:rPr>
              <w:t xml:space="preserve"> mld. Kč</w:t>
            </w:r>
          </w:p>
        </w:tc>
      </w:tr>
    </w:tbl>
    <w:p w14:paraId="3773D8AA" w14:textId="75F9F6C4" w:rsidR="001636D7" w:rsidRPr="00F15C89" w:rsidRDefault="001636D7" w:rsidP="00F35517">
      <w:pPr>
        <w:jc w:val="both"/>
        <w:rPr>
          <w:rFonts w:ascii="Arial" w:hAnsi="Arial" w:cs="Arial"/>
          <w:i/>
          <w:iCs/>
        </w:rPr>
      </w:pPr>
      <w:r w:rsidRPr="00F15C89">
        <w:rPr>
          <w:rFonts w:ascii="Arial" w:hAnsi="Arial" w:cs="Arial"/>
          <w:i/>
          <w:iCs/>
        </w:rPr>
        <w:t>Zdroj: Věstník veřejných zakázek</w:t>
      </w:r>
    </w:p>
    <w:p w14:paraId="144C237F" w14:textId="43B5952D" w:rsidR="0004082B" w:rsidRPr="00F15C89" w:rsidRDefault="0004082B" w:rsidP="0004082B">
      <w:pPr>
        <w:spacing w:after="0" w:line="240" w:lineRule="auto"/>
        <w:jc w:val="both"/>
        <w:rPr>
          <w:rFonts w:ascii="Arial" w:hAnsi="Arial" w:cs="Arial"/>
          <w:i/>
          <w:iCs/>
        </w:rPr>
      </w:pPr>
      <w:r w:rsidRPr="00F15C89">
        <w:rPr>
          <w:rFonts w:ascii="Arial" w:hAnsi="Arial" w:cs="Arial"/>
          <w:i/>
          <w:iCs/>
        </w:rPr>
        <w:t>Definic</w:t>
      </w:r>
      <w:r w:rsidR="000A12DC" w:rsidRPr="00F15C89">
        <w:rPr>
          <w:rFonts w:ascii="Arial" w:hAnsi="Arial" w:cs="Arial"/>
          <w:i/>
          <w:iCs/>
        </w:rPr>
        <w:t>i</w:t>
      </w:r>
      <w:r w:rsidRPr="00F15C89">
        <w:rPr>
          <w:rFonts w:ascii="Arial" w:hAnsi="Arial" w:cs="Arial"/>
          <w:i/>
          <w:iCs/>
        </w:rPr>
        <w:t xml:space="preserve"> udržitelného stravování</w:t>
      </w:r>
      <w:r w:rsidR="000A12DC" w:rsidRPr="00F15C89">
        <w:rPr>
          <w:rFonts w:ascii="Arial" w:hAnsi="Arial" w:cs="Arial"/>
          <w:i/>
          <w:iCs/>
        </w:rPr>
        <w:t xml:space="preserve"> přijala </w:t>
      </w:r>
      <w:r w:rsidR="00CF36D0" w:rsidRPr="00F15C89">
        <w:rPr>
          <w:rFonts w:ascii="Arial" w:hAnsi="Arial" w:cs="Arial"/>
          <w:i/>
          <w:iCs/>
        </w:rPr>
        <w:t>Organizace OSN pro výživu a zemědělství (FA</w:t>
      </w:r>
      <w:r w:rsidR="004744D1">
        <w:rPr>
          <w:rFonts w:ascii="Arial" w:hAnsi="Arial" w:cs="Arial"/>
          <w:i/>
          <w:iCs/>
        </w:rPr>
        <w:t>O)</w:t>
      </w:r>
      <w:r w:rsidR="00CF36D0" w:rsidRPr="00F15C89">
        <w:rPr>
          <w:rFonts w:ascii="Arial" w:hAnsi="Arial" w:cs="Arial"/>
          <w:i/>
          <w:iCs/>
        </w:rPr>
        <w:t xml:space="preserve"> v r</w:t>
      </w:r>
      <w:r w:rsidR="00253421" w:rsidRPr="00F15C89">
        <w:rPr>
          <w:rFonts w:ascii="Arial" w:hAnsi="Arial" w:cs="Arial"/>
          <w:i/>
          <w:iCs/>
        </w:rPr>
        <w:t>.</w:t>
      </w:r>
      <w:r w:rsidR="00253421">
        <w:rPr>
          <w:rFonts w:ascii="Arial" w:hAnsi="Arial" w:cs="Arial"/>
          <w:i/>
          <w:iCs/>
        </w:rPr>
        <w:t> </w:t>
      </w:r>
      <w:r w:rsidR="00CF36D0" w:rsidRPr="00F15C89">
        <w:rPr>
          <w:rFonts w:ascii="Arial" w:hAnsi="Arial" w:cs="Arial"/>
          <w:i/>
          <w:iCs/>
        </w:rPr>
        <w:t>2010</w:t>
      </w:r>
      <w:r w:rsidRPr="00F15C89">
        <w:rPr>
          <w:rFonts w:ascii="Arial" w:hAnsi="Arial" w:cs="Arial"/>
          <w:i/>
          <w:iCs/>
        </w:rPr>
        <w:t>: „Jako udržitelné stravování můžeme označit formy stravování mající nízkou environmentální zátěž, které přispívají k potravinové a výživové bezpečnosti a zdravému životu generací přítomných i budoucích. Udržitelné stravování vychází z optimálního využití přírodních a lidských zdrojů, přičemž respektuje a pomáhá ochraňovat biodiverzitu a přírodní ekosystémy, je kulturně přijatelné, přístupné, ekonomicky spravedlivé a dostupné a nutričně vyhovující, bezpečné a zdravé</w:t>
      </w:r>
      <w:r w:rsidR="00CF36D0" w:rsidRPr="00F15C89">
        <w:rPr>
          <w:rFonts w:ascii="Arial" w:hAnsi="Arial" w:cs="Arial"/>
          <w:i/>
          <w:iCs/>
        </w:rPr>
        <w:t>.</w:t>
      </w:r>
      <w:r w:rsidRPr="00F15C89">
        <w:rPr>
          <w:rFonts w:ascii="Arial" w:hAnsi="Arial" w:cs="Arial"/>
          <w:i/>
          <w:iCs/>
        </w:rPr>
        <w:t>“</w:t>
      </w:r>
    </w:p>
    <w:p w14:paraId="5B4C2C4B" w14:textId="77777777" w:rsidR="0004082B" w:rsidRPr="00F15C89" w:rsidRDefault="0004082B" w:rsidP="0004082B">
      <w:pPr>
        <w:spacing w:after="0" w:line="240" w:lineRule="auto"/>
        <w:jc w:val="both"/>
        <w:rPr>
          <w:rFonts w:ascii="Arial" w:hAnsi="Arial" w:cs="Arial"/>
          <w:i/>
          <w:iCs/>
        </w:rPr>
      </w:pPr>
    </w:p>
    <w:p w14:paraId="1B66BCD8" w14:textId="77777777" w:rsidR="00311001" w:rsidRPr="00F15C89" w:rsidRDefault="00F03998" w:rsidP="0004082B">
      <w:pPr>
        <w:pStyle w:val="Odstavecseseznamem"/>
        <w:numPr>
          <w:ilvl w:val="0"/>
          <w:numId w:val="43"/>
        </w:numPr>
        <w:spacing w:after="0" w:line="240" w:lineRule="auto"/>
        <w:ind w:left="284" w:hanging="284"/>
        <w:jc w:val="both"/>
        <w:rPr>
          <w:rFonts w:ascii="Arial" w:hAnsi="Arial" w:cs="Arial"/>
        </w:rPr>
      </w:pPr>
      <w:r w:rsidRPr="00F15C89">
        <w:rPr>
          <w:rFonts w:ascii="Arial" w:hAnsi="Arial" w:cs="Arial"/>
        </w:rPr>
        <w:t>Standardy pro dodávky potravin</w:t>
      </w:r>
    </w:p>
    <w:p w14:paraId="0E6476B3" w14:textId="01A7E1D3" w:rsidR="00F13BB9" w:rsidRPr="00F15C89" w:rsidRDefault="00311001" w:rsidP="008138CC">
      <w:pPr>
        <w:spacing w:after="0" w:line="240" w:lineRule="auto"/>
        <w:ind w:firstLine="426"/>
        <w:jc w:val="both"/>
        <w:rPr>
          <w:rFonts w:ascii="Arial" w:hAnsi="Arial" w:cs="Arial"/>
        </w:rPr>
      </w:pPr>
      <w:r w:rsidRPr="00F15C89">
        <w:rPr>
          <w:rFonts w:ascii="Arial" w:hAnsi="Arial" w:cs="Arial"/>
        </w:rPr>
        <w:t xml:space="preserve">Standardy pro zajištění stravovací služby obsahují všechny </w:t>
      </w:r>
      <w:r w:rsidR="00F13BB9" w:rsidRPr="00F15C89">
        <w:rPr>
          <w:rFonts w:ascii="Arial" w:hAnsi="Arial" w:cs="Arial"/>
        </w:rPr>
        <w:t>minimální standard</w:t>
      </w:r>
      <w:r w:rsidRPr="00F15C89">
        <w:rPr>
          <w:rFonts w:ascii="Arial" w:hAnsi="Arial" w:cs="Arial"/>
        </w:rPr>
        <w:t>y</w:t>
      </w:r>
      <w:r w:rsidR="00F13BB9" w:rsidRPr="00F15C89">
        <w:rPr>
          <w:rFonts w:ascii="Arial" w:hAnsi="Arial" w:cs="Arial"/>
        </w:rPr>
        <w:t xml:space="preserve"> OVZ </w:t>
      </w:r>
      <w:r w:rsidR="00253421" w:rsidRPr="00F15C89">
        <w:rPr>
          <w:rFonts w:ascii="Arial" w:hAnsi="Arial" w:cs="Arial"/>
        </w:rPr>
        <w:t>pro</w:t>
      </w:r>
      <w:r w:rsidR="00253421">
        <w:rPr>
          <w:rFonts w:ascii="Arial" w:hAnsi="Arial" w:cs="Arial"/>
        </w:rPr>
        <w:t> </w:t>
      </w:r>
      <w:r w:rsidR="00F13BB9" w:rsidRPr="00F15C89">
        <w:rPr>
          <w:rFonts w:ascii="Arial" w:hAnsi="Arial" w:cs="Arial"/>
        </w:rPr>
        <w:t xml:space="preserve">dodávky potravin </w:t>
      </w:r>
      <w:r w:rsidR="004A5139" w:rsidRPr="00F15C89">
        <w:rPr>
          <w:rFonts w:ascii="Arial" w:hAnsi="Arial" w:cs="Arial"/>
        </w:rPr>
        <w:t>(viz výše)</w:t>
      </w:r>
      <w:r w:rsidR="00F13BB9" w:rsidRPr="00F15C89">
        <w:rPr>
          <w:rFonts w:ascii="Arial" w:hAnsi="Arial" w:cs="Arial"/>
        </w:rPr>
        <w:t>.</w:t>
      </w:r>
    </w:p>
    <w:p w14:paraId="3F2A779C" w14:textId="77777777" w:rsidR="00F13BB9" w:rsidRPr="00F15C89" w:rsidRDefault="00F13BB9" w:rsidP="00F35517">
      <w:pPr>
        <w:spacing w:after="0" w:line="240" w:lineRule="auto"/>
        <w:jc w:val="both"/>
        <w:rPr>
          <w:rFonts w:ascii="Arial" w:hAnsi="Arial" w:cs="Arial"/>
        </w:rPr>
      </w:pPr>
    </w:p>
    <w:p w14:paraId="0CDFE0D9" w14:textId="0D180324" w:rsidR="004A5139" w:rsidRPr="00F15C89" w:rsidRDefault="004A5139" w:rsidP="000E2B60">
      <w:pPr>
        <w:pStyle w:val="Odstavecseseznamem"/>
        <w:numPr>
          <w:ilvl w:val="0"/>
          <w:numId w:val="42"/>
        </w:numPr>
        <w:spacing w:after="0" w:line="240" w:lineRule="auto"/>
        <w:ind w:left="284" w:hanging="284"/>
        <w:jc w:val="both"/>
        <w:rPr>
          <w:rFonts w:ascii="Arial" w:hAnsi="Arial" w:cs="Arial"/>
        </w:rPr>
      </w:pPr>
      <w:r w:rsidRPr="00F15C89">
        <w:rPr>
          <w:rFonts w:ascii="Arial" w:hAnsi="Arial" w:cs="Arial"/>
        </w:rPr>
        <w:t>Častější zařazení pokrmů s vyšším podílem luštěnin, zeleniny, ovoce, celozrnných obilnin a ořechů, při zachování potřebného příjmu živin</w:t>
      </w:r>
    </w:p>
    <w:p w14:paraId="5B3B798E" w14:textId="208F1965" w:rsidR="00F13BB9" w:rsidRPr="00F15C89" w:rsidRDefault="00F13BB9" w:rsidP="008138CC">
      <w:pPr>
        <w:spacing w:after="0" w:line="240" w:lineRule="auto"/>
        <w:ind w:firstLine="426"/>
        <w:jc w:val="both"/>
        <w:rPr>
          <w:rFonts w:ascii="Arial" w:eastAsia="Calibri" w:hAnsi="Arial" w:cs="Arial"/>
        </w:rPr>
      </w:pPr>
      <w:r w:rsidRPr="00F15C89">
        <w:rPr>
          <w:rFonts w:ascii="Arial" w:hAnsi="Arial" w:cs="Arial"/>
        </w:rPr>
        <w:t>Nízký příjem zeleniny, ovoce, celozrnných obilovin nebo ořechů a dalších zdrojů nenasycených mastných kyselin je dlouhodobě známým problémem spojeným s</w:t>
      </w:r>
      <w:r w:rsidR="00F5328B" w:rsidRPr="00F15C89">
        <w:rPr>
          <w:rFonts w:ascii="Arial" w:hAnsi="Arial" w:cs="Arial"/>
        </w:rPr>
        <w:t> </w:t>
      </w:r>
      <w:r w:rsidRPr="00F15C89">
        <w:rPr>
          <w:rFonts w:ascii="Arial" w:hAnsi="Arial" w:cs="Arial"/>
        </w:rPr>
        <w:t xml:space="preserve">vyšším rizikem celé řady chronických onemocnění. Výsledkem je, že 27 % všech úmrtí </w:t>
      </w:r>
      <w:r w:rsidR="00253421" w:rsidRPr="00F15C89">
        <w:rPr>
          <w:rFonts w:ascii="Arial" w:hAnsi="Arial" w:cs="Arial"/>
        </w:rPr>
        <w:t>ve</w:t>
      </w:r>
      <w:r w:rsidR="00253421">
        <w:rPr>
          <w:rFonts w:ascii="Arial" w:hAnsi="Arial" w:cs="Arial"/>
        </w:rPr>
        <w:t> </w:t>
      </w:r>
      <w:r w:rsidRPr="00F15C89">
        <w:rPr>
          <w:rFonts w:ascii="Arial" w:hAnsi="Arial" w:cs="Arial"/>
        </w:rPr>
        <w:t>středoevropském regionu lze přičíst stravovacím návykům, které většinou zahrnují vysoký příjem soli, nízký příjem celozrnných obilovin a nízký příjem ovoce a</w:t>
      </w:r>
      <w:r w:rsidR="00F5328B" w:rsidRPr="00F15C89">
        <w:rPr>
          <w:rFonts w:ascii="Arial" w:hAnsi="Arial" w:cs="Arial"/>
        </w:rPr>
        <w:t> </w:t>
      </w:r>
      <w:r w:rsidRPr="00F15C89">
        <w:rPr>
          <w:rFonts w:ascii="Arial" w:hAnsi="Arial" w:cs="Arial"/>
        </w:rPr>
        <w:t>zeleniny</w:t>
      </w:r>
      <w:r w:rsidRPr="00F15C89">
        <w:rPr>
          <w:rStyle w:val="Znakapoznpodarou"/>
          <w:rFonts w:ascii="Arial" w:hAnsi="Arial" w:cs="Arial"/>
          <w:vertAlign w:val="superscript"/>
        </w:rPr>
        <w:footnoteReference w:id="19"/>
      </w:r>
      <w:r w:rsidRPr="00F15C89">
        <w:rPr>
          <w:rFonts w:ascii="Arial" w:hAnsi="Arial" w:cs="Arial"/>
        </w:rPr>
        <w:t>. Příjem vlákniny (např. čerstvé zeleniny a ovoce)</w:t>
      </w:r>
      <w:r w:rsidRPr="00F15C89">
        <w:rPr>
          <w:rStyle w:val="Znakapoznpodarou"/>
          <w:rFonts w:ascii="Arial" w:hAnsi="Arial" w:cs="Arial"/>
          <w:vertAlign w:val="superscript"/>
        </w:rPr>
        <w:footnoteReference w:id="20"/>
      </w:r>
      <w:r w:rsidRPr="00F15C89">
        <w:rPr>
          <w:rFonts w:ascii="Arial" w:hAnsi="Arial" w:cs="Arial"/>
        </w:rPr>
        <w:t xml:space="preserve"> a snížení množství nasycených tuků (nacházejících se např. v červeném mase, sýru a plnotučných mléčných výrobcích)</w:t>
      </w:r>
      <w:r w:rsidRPr="00F15C89">
        <w:rPr>
          <w:rStyle w:val="Znakapoznpodarou"/>
          <w:rFonts w:ascii="Arial" w:hAnsi="Arial" w:cs="Arial"/>
          <w:vertAlign w:val="superscript"/>
        </w:rPr>
        <w:footnoteReference w:id="21"/>
      </w:r>
      <w:r w:rsidRPr="00F15C89">
        <w:rPr>
          <w:rFonts w:ascii="Arial" w:hAnsi="Arial" w:cs="Arial"/>
        </w:rPr>
        <w:t xml:space="preserve"> jsou důležité v prevenci kardiovaskulárních onemocnění. Zároveň vysoká konzumace červeného a zpracovaného masa zvyšuje riziko kolorektálního karcinomu</w:t>
      </w:r>
      <w:r w:rsidRPr="00F15C89">
        <w:rPr>
          <w:rStyle w:val="Znakapoznpodarou"/>
          <w:rFonts w:ascii="Arial" w:hAnsi="Arial" w:cs="Arial"/>
          <w:vertAlign w:val="superscript"/>
        </w:rPr>
        <w:footnoteReference w:id="22"/>
      </w:r>
      <w:r w:rsidRPr="00F15C89">
        <w:rPr>
          <w:rFonts w:ascii="Arial" w:hAnsi="Arial" w:cs="Arial"/>
        </w:rPr>
        <w:t>. Z</w:t>
      </w:r>
      <w:r w:rsidRPr="00F15C89">
        <w:rPr>
          <w:rStyle w:val="cf01"/>
          <w:rFonts w:ascii="Arial" w:hAnsi="Arial" w:cs="Arial"/>
          <w:sz w:val="22"/>
          <w:szCs w:val="22"/>
        </w:rPr>
        <w:t>pracované maso je prokázaný karcinogen, červené (např. hovězí, telecí, vepřové, jehněčí) pravděpodobně prokázaný (každých 100 g zvyšuje riziko kolorekta)</w:t>
      </w:r>
      <w:r w:rsidRPr="00F15C89">
        <w:rPr>
          <w:rStyle w:val="Znakapoznpodarou"/>
          <w:rFonts w:ascii="Arial" w:hAnsi="Arial" w:cs="Arial"/>
          <w:vertAlign w:val="superscript"/>
        </w:rPr>
        <w:footnoteReference w:id="23"/>
      </w:r>
      <w:r w:rsidRPr="00F15C89">
        <w:rPr>
          <w:rFonts w:ascii="Arial" w:hAnsi="Arial" w:cs="Arial"/>
        </w:rPr>
        <w:t>.</w:t>
      </w:r>
      <w:r w:rsidRPr="00F15C89">
        <w:rPr>
          <w:rFonts w:ascii="Arial" w:eastAsia="Calibri" w:hAnsi="Arial" w:cs="Arial"/>
        </w:rPr>
        <w:t xml:space="preserve"> Nádory kolorekta patří k nejčastějším v České republice, včetně nejčastější příčiny úmrtí</w:t>
      </w:r>
      <w:r w:rsidRPr="00F15C89">
        <w:rPr>
          <w:rStyle w:val="Znakapoznpodarou"/>
          <w:rFonts w:ascii="Arial" w:eastAsia="Calibri" w:hAnsi="Arial" w:cs="Arial"/>
          <w:vertAlign w:val="superscript"/>
        </w:rPr>
        <w:footnoteReference w:id="24"/>
      </w:r>
      <w:r w:rsidRPr="00F15C89">
        <w:rPr>
          <w:rFonts w:ascii="Arial" w:eastAsia="Calibri" w:hAnsi="Arial" w:cs="Arial"/>
        </w:rPr>
        <w:t>.</w:t>
      </w:r>
    </w:p>
    <w:p w14:paraId="13B32D48" w14:textId="77777777" w:rsidR="00F13BB9" w:rsidRPr="00F15C89" w:rsidRDefault="00F13BB9" w:rsidP="00F35517">
      <w:pPr>
        <w:spacing w:after="0" w:line="240" w:lineRule="auto"/>
        <w:jc w:val="both"/>
        <w:rPr>
          <w:rFonts w:ascii="Arial" w:eastAsia="Calibri" w:hAnsi="Arial" w:cs="Arial"/>
        </w:rPr>
      </w:pPr>
    </w:p>
    <w:p w14:paraId="4336CA1C" w14:textId="34ECD4D0" w:rsidR="00F13BB9" w:rsidRPr="00F15C89" w:rsidRDefault="00F13BB9" w:rsidP="008138CC">
      <w:pPr>
        <w:spacing w:after="0" w:line="240" w:lineRule="auto"/>
        <w:ind w:firstLine="426"/>
        <w:jc w:val="both"/>
        <w:rPr>
          <w:rFonts w:ascii="Arial" w:eastAsia="Calibri" w:hAnsi="Arial" w:cs="Arial"/>
        </w:rPr>
      </w:pPr>
      <w:r w:rsidRPr="00F15C89">
        <w:rPr>
          <w:rFonts w:ascii="Arial" w:eastAsia="Calibri" w:hAnsi="Arial" w:cs="Arial"/>
        </w:rPr>
        <w:t>Významným argumentem pro častější zařazování rostlinné stravy je také skutečnost, že rostlinná strava má vždy nižší environmentální dopady</w:t>
      </w:r>
      <w:r w:rsidRPr="00F15C89">
        <w:rPr>
          <w:rStyle w:val="Znakapoznpodarou"/>
          <w:rFonts w:ascii="Arial" w:eastAsia="Calibri" w:hAnsi="Arial" w:cs="Arial"/>
          <w:vertAlign w:val="superscript"/>
        </w:rPr>
        <w:footnoteReference w:id="25"/>
      </w:r>
      <w:r w:rsidRPr="00F15C89">
        <w:rPr>
          <w:rFonts w:ascii="Arial" w:eastAsia="Calibri" w:hAnsi="Arial" w:cs="Arial"/>
        </w:rPr>
        <w:t xml:space="preserve">, přičemž celosvětově jsou potravinové systémy odpovědné za více než třetinu skleníkových plynů způsobených činností </w:t>
      </w:r>
      <w:r w:rsidRPr="00F15C89">
        <w:rPr>
          <w:rFonts w:ascii="Arial" w:eastAsia="Calibri" w:hAnsi="Arial" w:cs="Arial"/>
        </w:rPr>
        <w:lastRenderedPageBreak/>
        <w:t>člověka</w:t>
      </w:r>
      <w:r w:rsidRPr="00F15C89">
        <w:rPr>
          <w:rStyle w:val="Znakapoznpodarou"/>
          <w:rFonts w:ascii="Arial" w:eastAsia="Calibri" w:hAnsi="Arial" w:cs="Arial"/>
          <w:vertAlign w:val="superscript"/>
        </w:rPr>
        <w:footnoteReference w:id="26"/>
      </w:r>
      <w:r w:rsidRPr="00F15C89">
        <w:rPr>
          <w:rFonts w:ascii="Arial" w:eastAsia="Calibri" w:hAnsi="Arial" w:cs="Arial"/>
        </w:rPr>
        <w:t>. Evropská komise ve své Strategii „od zemědělce ke spotřebiteli“</w:t>
      </w:r>
      <w:r w:rsidRPr="00F15C89">
        <w:rPr>
          <w:rStyle w:val="Znakapoznpodarou"/>
          <w:rFonts w:ascii="Arial" w:eastAsia="Calibri" w:hAnsi="Arial" w:cs="Arial"/>
          <w:vertAlign w:val="superscript"/>
        </w:rPr>
        <w:footnoteReference w:id="27"/>
      </w:r>
      <w:r w:rsidRPr="00F15C89">
        <w:rPr>
          <w:rFonts w:ascii="Arial" w:eastAsia="Calibri" w:hAnsi="Arial" w:cs="Arial"/>
        </w:rPr>
        <w:t xml:space="preserve"> poukazuje na to, že evropské z</w:t>
      </w:r>
      <w:r w:rsidRPr="00F15C89">
        <w:rPr>
          <w:rFonts w:ascii="Arial" w:hAnsi="Arial" w:cs="Arial"/>
        </w:rPr>
        <w:t xml:space="preserve">emědělství je odpovědné za 10,3 % emisí skleníkových plynů v EU a téměř </w:t>
      </w:r>
      <w:r w:rsidR="00253421" w:rsidRPr="00F15C89">
        <w:rPr>
          <w:rFonts w:ascii="Arial" w:hAnsi="Arial" w:cs="Arial"/>
        </w:rPr>
        <w:t>70</w:t>
      </w:r>
      <w:r w:rsidR="00253421">
        <w:rPr>
          <w:rFonts w:ascii="Arial" w:hAnsi="Arial" w:cs="Arial"/>
        </w:rPr>
        <w:t> </w:t>
      </w:r>
      <w:r w:rsidRPr="00F15C89">
        <w:rPr>
          <w:rFonts w:ascii="Arial" w:hAnsi="Arial" w:cs="Arial"/>
        </w:rPr>
        <w:t>% z nich pochází z odvětví živočišné výroby</w:t>
      </w:r>
      <w:r w:rsidRPr="00F15C89">
        <w:rPr>
          <w:rStyle w:val="Znakapoznpodarou"/>
          <w:rFonts w:ascii="Arial" w:hAnsi="Arial" w:cs="Arial"/>
          <w:vertAlign w:val="superscript"/>
        </w:rPr>
        <w:footnoteReference w:id="28"/>
      </w:r>
      <w:r w:rsidRPr="00F15C89">
        <w:rPr>
          <w:rFonts w:ascii="Arial" w:hAnsi="Arial" w:cs="Arial"/>
        </w:rPr>
        <w:t xml:space="preserve">. </w:t>
      </w:r>
      <w:r w:rsidRPr="00F15C89">
        <w:rPr>
          <w:rFonts w:ascii="Arial" w:eastAsia="Calibri" w:hAnsi="Arial" w:cs="Arial"/>
        </w:rPr>
        <w:t>Podíl zemědělství (včetně spalování fosilních paliv v tomto sektoru) na celkových emisích skleníkových plynů České republiky v roce 2022 činil 8,2 %, přičemž významná část emisí skleníkových plynů v tuzemském zemědělství pochází z chovu hospodářských zvířat</w:t>
      </w:r>
      <w:r w:rsidRPr="00F15C89">
        <w:rPr>
          <w:rStyle w:val="Znakapoznpodarou"/>
          <w:rFonts w:ascii="Arial" w:eastAsia="Calibri" w:hAnsi="Arial" w:cs="Arial"/>
          <w:vertAlign w:val="superscript"/>
        </w:rPr>
        <w:footnoteReference w:id="29"/>
      </w:r>
      <w:r w:rsidRPr="00F15C89">
        <w:rPr>
          <w:rFonts w:ascii="Arial" w:eastAsia="Calibri" w:hAnsi="Arial" w:cs="Arial"/>
        </w:rPr>
        <w:t>.</w:t>
      </w:r>
    </w:p>
    <w:p w14:paraId="747B0095" w14:textId="77777777" w:rsidR="00130870" w:rsidRPr="00F15C89" w:rsidRDefault="00130870" w:rsidP="000E2B60">
      <w:pPr>
        <w:spacing w:after="0" w:line="240" w:lineRule="auto"/>
        <w:ind w:firstLine="284"/>
        <w:jc w:val="both"/>
        <w:rPr>
          <w:rFonts w:ascii="Arial" w:eastAsia="Calibri" w:hAnsi="Arial" w:cs="Arial"/>
        </w:rPr>
      </w:pPr>
    </w:p>
    <w:p w14:paraId="20B0027D" w14:textId="6AA26EA1" w:rsidR="004956B7" w:rsidRPr="00F15C89" w:rsidRDefault="004956B7" w:rsidP="008138CC">
      <w:pPr>
        <w:spacing w:after="0" w:line="240" w:lineRule="auto"/>
        <w:ind w:firstLine="426"/>
        <w:jc w:val="both"/>
        <w:rPr>
          <w:rFonts w:ascii="Arial" w:eastAsia="Calibri" w:hAnsi="Arial" w:cs="Arial"/>
        </w:rPr>
      </w:pPr>
      <w:r w:rsidRPr="00F15C89">
        <w:rPr>
          <w:rFonts w:ascii="Arial" w:eastAsia="Calibri" w:hAnsi="Arial" w:cs="Arial"/>
        </w:rPr>
        <w:t xml:space="preserve">Standard vychází z Kritérií pro </w:t>
      </w:r>
      <w:r w:rsidR="004C3C53" w:rsidRPr="00F15C89">
        <w:rPr>
          <w:rFonts w:ascii="Arial" w:eastAsia="Calibri" w:hAnsi="Arial" w:cs="Arial"/>
        </w:rPr>
        <w:t xml:space="preserve">zadávání </w:t>
      </w:r>
      <w:r w:rsidRPr="00F15C89">
        <w:rPr>
          <w:rFonts w:ascii="Arial" w:eastAsia="Calibri" w:hAnsi="Arial" w:cs="Arial"/>
        </w:rPr>
        <w:t>zelen</w:t>
      </w:r>
      <w:r w:rsidR="004C3C53" w:rsidRPr="00F15C89">
        <w:rPr>
          <w:rFonts w:ascii="Arial" w:eastAsia="Calibri" w:hAnsi="Arial" w:cs="Arial"/>
        </w:rPr>
        <w:t xml:space="preserve">ých </w:t>
      </w:r>
      <w:r w:rsidRPr="00F15C89">
        <w:rPr>
          <w:rFonts w:ascii="Arial" w:eastAsia="Calibri" w:hAnsi="Arial" w:cs="Arial"/>
        </w:rPr>
        <w:t>veřejn</w:t>
      </w:r>
      <w:r w:rsidR="004C3C53" w:rsidRPr="00F15C89">
        <w:rPr>
          <w:rFonts w:ascii="Arial" w:eastAsia="Calibri" w:hAnsi="Arial" w:cs="Arial"/>
        </w:rPr>
        <w:t>ých</w:t>
      </w:r>
      <w:r w:rsidRPr="00F15C89">
        <w:rPr>
          <w:rFonts w:ascii="Arial" w:eastAsia="Calibri" w:hAnsi="Arial" w:cs="Arial"/>
        </w:rPr>
        <w:t xml:space="preserve"> zakáz</w:t>
      </w:r>
      <w:r w:rsidR="004C3C53" w:rsidRPr="00F15C89">
        <w:rPr>
          <w:rFonts w:ascii="Arial" w:eastAsia="Calibri" w:hAnsi="Arial" w:cs="Arial"/>
        </w:rPr>
        <w:t>e</w:t>
      </w:r>
      <w:r w:rsidRPr="00F15C89">
        <w:rPr>
          <w:rFonts w:ascii="Arial" w:eastAsia="Calibri" w:hAnsi="Arial" w:cs="Arial"/>
        </w:rPr>
        <w:t>k</w:t>
      </w:r>
      <w:r w:rsidR="001854AF" w:rsidRPr="00F15C89">
        <w:rPr>
          <w:rFonts w:ascii="Arial" w:eastAsia="Calibri" w:hAnsi="Arial" w:cs="Arial"/>
        </w:rPr>
        <w:t xml:space="preserve"> v</w:t>
      </w:r>
      <w:r w:rsidR="00F74B1A" w:rsidRPr="00F15C89">
        <w:rPr>
          <w:rFonts w:ascii="Arial" w:eastAsia="Calibri" w:hAnsi="Arial" w:cs="Arial"/>
        </w:rPr>
        <w:t> </w:t>
      </w:r>
      <w:r w:rsidR="001854AF" w:rsidRPr="00F15C89">
        <w:rPr>
          <w:rFonts w:ascii="Arial" w:eastAsia="Calibri" w:hAnsi="Arial" w:cs="Arial"/>
        </w:rPr>
        <w:t>EU</w:t>
      </w:r>
      <w:r w:rsidR="00F74B1A" w:rsidRPr="00F15C89">
        <w:rPr>
          <w:rFonts w:ascii="Arial" w:eastAsia="Calibri" w:hAnsi="Arial" w:cs="Arial"/>
        </w:rPr>
        <w:t xml:space="preserve"> pro stravování, stravovací služby a prodejní automaty</w:t>
      </w:r>
      <w:r w:rsidR="00EA3E8E" w:rsidRPr="00F15C89">
        <w:rPr>
          <w:rFonts w:ascii="Arial" w:eastAsia="Calibri" w:hAnsi="Arial" w:cs="Arial"/>
        </w:rPr>
        <w:t>, kter</w:t>
      </w:r>
      <w:r w:rsidR="00F81BC4" w:rsidRPr="00F15C89">
        <w:rPr>
          <w:rFonts w:ascii="Arial" w:eastAsia="Calibri" w:hAnsi="Arial" w:cs="Arial"/>
        </w:rPr>
        <w:t>á</w:t>
      </w:r>
      <w:r w:rsidR="00EA3E8E" w:rsidRPr="00F15C89">
        <w:rPr>
          <w:rFonts w:ascii="Arial" w:eastAsia="Calibri" w:hAnsi="Arial" w:cs="Arial"/>
        </w:rPr>
        <w:t xml:space="preserve"> také </w:t>
      </w:r>
      <w:r w:rsidR="0033245F" w:rsidRPr="00F15C89">
        <w:rPr>
          <w:rFonts w:ascii="Arial" w:eastAsia="Calibri" w:hAnsi="Arial" w:cs="Arial"/>
        </w:rPr>
        <w:t xml:space="preserve">uvádí, že nižší spotřeba </w:t>
      </w:r>
      <w:r w:rsidR="00647A7F" w:rsidRPr="00F15C89">
        <w:rPr>
          <w:rFonts w:ascii="Arial" w:eastAsia="Calibri" w:hAnsi="Arial" w:cs="Arial"/>
        </w:rPr>
        <w:t xml:space="preserve">masných výrobků je vedle minimalizace </w:t>
      </w:r>
      <w:r w:rsidR="00E74B25" w:rsidRPr="00F15C89">
        <w:rPr>
          <w:rFonts w:ascii="Arial" w:eastAsia="Calibri" w:hAnsi="Arial" w:cs="Arial"/>
        </w:rPr>
        <w:t>potravinového odpadu klíčovým faktore</w:t>
      </w:r>
      <w:r w:rsidR="00774206" w:rsidRPr="00F15C89">
        <w:rPr>
          <w:rFonts w:ascii="Arial" w:eastAsia="Calibri" w:hAnsi="Arial" w:cs="Arial"/>
        </w:rPr>
        <w:t>m</w:t>
      </w:r>
      <w:r w:rsidR="00E74B25" w:rsidRPr="00F15C89">
        <w:rPr>
          <w:rFonts w:ascii="Arial" w:eastAsia="Calibri" w:hAnsi="Arial" w:cs="Arial"/>
        </w:rPr>
        <w:t xml:space="preserve"> v nákladech </w:t>
      </w:r>
      <w:r w:rsidR="006E445D" w:rsidRPr="00F15C89">
        <w:rPr>
          <w:rFonts w:ascii="Arial" w:eastAsia="Calibri" w:hAnsi="Arial" w:cs="Arial"/>
        </w:rPr>
        <w:t>životního cyklu stravovacích služeb</w:t>
      </w:r>
      <w:r w:rsidR="00774206" w:rsidRPr="00F15C89">
        <w:rPr>
          <w:rStyle w:val="Znakapoznpodarou"/>
          <w:rFonts w:ascii="Arial" w:eastAsia="Calibri" w:hAnsi="Arial" w:cs="Arial"/>
          <w:vertAlign w:val="superscript"/>
        </w:rPr>
        <w:footnoteReference w:id="30"/>
      </w:r>
      <w:r w:rsidR="00782A42" w:rsidRPr="00F15C89">
        <w:rPr>
          <w:rFonts w:ascii="Arial" w:eastAsia="Calibri" w:hAnsi="Arial" w:cs="Arial"/>
        </w:rPr>
        <w:t>.</w:t>
      </w:r>
    </w:p>
    <w:p w14:paraId="2B55AC8B" w14:textId="77777777" w:rsidR="003A48AB" w:rsidRPr="00F15C89" w:rsidRDefault="003A48AB" w:rsidP="00F35517">
      <w:pPr>
        <w:spacing w:after="0" w:line="240" w:lineRule="auto"/>
        <w:jc w:val="both"/>
        <w:rPr>
          <w:rFonts w:ascii="Arial" w:hAnsi="Arial" w:cs="Arial"/>
        </w:rPr>
      </w:pPr>
    </w:p>
    <w:p w14:paraId="040C6171" w14:textId="78F8DBF6" w:rsidR="00297D2B" w:rsidRPr="00F15C89" w:rsidRDefault="00297D2B" w:rsidP="00F35517">
      <w:pPr>
        <w:pStyle w:val="Odstavecseseznamem"/>
        <w:numPr>
          <w:ilvl w:val="0"/>
          <w:numId w:val="42"/>
        </w:numPr>
        <w:spacing w:after="0" w:line="240" w:lineRule="auto"/>
        <w:ind w:left="284" w:hanging="284"/>
        <w:jc w:val="both"/>
        <w:rPr>
          <w:rFonts w:ascii="Arial" w:hAnsi="Arial" w:cs="Arial"/>
        </w:rPr>
      </w:pPr>
      <w:r w:rsidRPr="00F15C89">
        <w:rPr>
          <w:rFonts w:ascii="Arial" w:hAnsi="Arial" w:cs="Arial"/>
        </w:rPr>
        <w:t>Opatření ke snížení plýtvání potravinami a minimalizaci odpadů</w:t>
      </w:r>
    </w:p>
    <w:p w14:paraId="27F46193" w14:textId="41968EF7" w:rsidR="00F13BB9" w:rsidRPr="00F15C89" w:rsidRDefault="00F13BB9" w:rsidP="008138CC">
      <w:pPr>
        <w:spacing w:after="0" w:line="240" w:lineRule="auto"/>
        <w:ind w:firstLine="426"/>
        <w:jc w:val="both"/>
        <w:rPr>
          <w:rStyle w:val="normaltextrun"/>
          <w:rFonts w:ascii="Arial" w:hAnsi="Arial" w:cs="Arial"/>
        </w:rPr>
      </w:pPr>
      <w:r w:rsidRPr="00F15C89">
        <w:rPr>
          <w:rFonts w:ascii="Arial" w:hAnsi="Arial" w:cs="Arial"/>
        </w:rPr>
        <w:t>Celosvětově se odhaduje, že se třetina všeho vyprodukovaného jídla vyhodí nebo znehodnotí</w:t>
      </w:r>
      <w:r w:rsidRPr="00F15C89">
        <w:rPr>
          <w:rStyle w:val="Znakapoznpodarou"/>
          <w:rFonts w:ascii="Arial" w:hAnsi="Arial" w:cs="Arial"/>
          <w:vertAlign w:val="superscript"/>
        </w:rPr>
        <w:footnoteReference w:id="31"/>
      </w:r>
      <w:r w:rsidRPr="00F15C89">
        <w:rPr>
          <w:rFonts w:ascii="Arial" w:hAnsi="Arial" w:cs="Arial"/>
        </w:rPr>
        <w:t>. V Evropské unii se vyplýtvá přibližně 20 % vyprodukovaných potravin</w:t>
      </w:r>
      <w:r w:rsidRPr="00F15C89">
        <w:rPr>
          <w:rStyle w:val="Znakapoznpodarou"/>
          <w:rFonts w:ascii="Arial" w:hAnsi="Arial" w:cs="Arial"/>
          <w:vertAlign w:val="superscript"/>
        </w:rPr>
        <w:footnoteReference w:id="32"/>
      </w:r>
      <w:r w:rsidRPr="00F15C89">
        <w:rPr>
          <w:rFonts w:ascii="Arial" w:hAnsi="Arial" w:cs="Arial"/>
        </w:rPr>
        <w:t>. Jídelny odpovídají v EU za 8 % potravinového odpadu (v r. 2022 11 kg na osobu)</w:t>
      </w:r>
      <w:r w:rsidRPr="00F15C89">
        <w:rPr>
          <w:rStyle w:val="Znakapoznpodarou"/>
          <w:rFonts w:ascii="Arial" w:hAnsi="Arial" w:cs="Arial"/>
          <w:vertAlign w:val="superscript"/>
        </w:rPr>
        <w:footnoteReference w:id="33"/>
      </w:r>
      <w:r w:rsidRPr="00F15C89">
        <w:rPr>
          <w:rFonts w:ascii="Arial" w:hAnsi="Arial" w:cs="Arial"/>
        </w:rPr>
        <w:t>. Z</w:t>
      </w:r>
      <w:r w:rsidR="007D001B" w:rsidRPr="00F15C89">
        <w:rPr>
          <w:rFonts w:ascii="Arial" w:hAnsi="Arial" w:cs="Arial"/>
        </w:rPr>
        <w:t> </w:t>
      </w:r>
      <w:r w:rsidRPr="00F15C89">
        <w:rPr>
          <w:rStyle w:val="normaltextrun"/>
          <w:rFonts w:ascii="Arial" w:hAnsi="Arial" w:cs="Arial"/>
        </w:rPr>
        <w:t>odhadů zaměstnanců škol plyne, že 20 - 35 % uvařených jídel se vyhodí</w:t>
      </w:r>
      <w:r w:rsidRPr="00F15C89">
        <w:rPr>
          <w:rStyle w:val="Znakapoznpodarou"/>
          <w:rFonts w:ascii="Arial" w:hAnsi="Arial" w:cs="Arial"/>
          <w:vertAlign w:val="superscript"/>
        </w:rPr>
        <w:footnoteReference w:id="34"/>
      </w:r>
      <w:r w:rsidRPr="00F15C89">
        <w:rPr>
          <w:rStyle w:val="normaltextrun"/>
          <w:rFonts w:ascii="Arial" w:hAnsi="Arial" w:cs="Arial"/>
        </w:rPr>
        <w:t xml:space="preserve">. Obdobně, projekt Prague Food Waste realizovaný v letech </w:t>
      </w:r>
      <w:r w:rsidR="00F54042" w:rsidRPr="00F15C89">
        <w:rPr>
          <w:rStyle w:val="normaltextrun"/>
          <w:rFonts w:ascii="Arial" w:hAnsi="Arial" w:cs="Arial"/>
        </w:rPr>
        <w:t>2023–2025</w:t>
      </w:r>
      <w:r w:rsidRPr="00F15C89">
        <w:rPr>
          <w:rStyle w:val="Znakapoznpodarou"/>
          <w:rFonts w:ascii="Arial" w:hAnsi="Arial" w:cs="Arial"/>
          <w:vertAlign w:val="superscript"/>
        </w:rPr>
        <w:footnoteReference w:id="35"/>
      </w:r>
      <w:r w:rsidRPr="00F15C89">
        <w:rPr>
          <w:rStyle w:val="normaltextrun"/>
          <w:rFonts w:ascii="Arial" w:hAnsi="Arial" w:cs="Arial"/>
        </w:rPr>
        <w:t xml:space="preserve"> dosud např. zjistil, že v domovech pro seniory je průměrně 30 kg odpadu ze 100 kg připraveného oběda. </w:t>
      </w:r>
    </w:p>
    <w:p w14:paraId="6C6D462A" w14:textId="77777777" w:rsidR="00737010" w:rsidRPr="00F15C89" w:rsidRDefault="00737010" w:rsidP="000E2B60">
      <w:pPr>
        <w:spacing w:after="0" w:line="240" w:lineRule="auto"/>
        <w:ind w:firstLine="284"/>
        <w:jc w:val="both"/>
        <w:rPr>
          <w:rFonts w:ascii="Arial" w:eastAsia="Calibri" w:hAnsi="Arial" w:cs="Arial"/>
        </w:rPr>
      </w:pPr>
    </w:p>
    <w:p w14:paraId="054191D7" w14:textId="37FAF81C" w:rsidR="00D36967" w:rsidRPr="00F15C89" w:rsidRDefault="006E445D" w:rsidP="008138CC">
      <w:pPr>
        <w:spacing w:after="0" w:line="240" w:lineRule="auto"/>
        <w:ind w:firstLine="426"/>
        <w:jc w:val="both"/>
        <w:rPr>
          <w:rFonts w:ascii="Arial" w:eastAsia="Calibri" w:hAnsi="Arial" w:cs="Arial"/>
        </w:rPr>
      </w:pPr>
      <w:r w:rsidRPr="00F15C89">
        <w:rPr>
          <w:rFonts w:ascii="Arial" w:eastAsia="Calibri" w:hAnsi="Arial" w:cs="Arial"/>
        </w:rPr>
        <w:t>Standard vychází z Kritérií pro zadávání zelených veřejných zakázek v EU pro stravování, stravovací služby a prodejní automaty, kter</w:t>
      </w:r>
      <w:r w:rsidR="00F81BC4" w:rsidRPr="00F15C89">
        <w:rPr>
          <w:rFonts w:ascii="Arial" w:eastAsia="Calibri" w:hAnsi="Arial" w:cs="Arial"/>
        </w:rPr>
        <w:t>á</w:t>
      </w:r>
      <w:r w:rsidRPr="00F15C89">
        <w:rPr>
          <w:rFonts w:ascii="Arial" w:eastAsia="Calibri" w:hAnsi="Arial" w:cs="Arial"/>
        </w:rPr>
        <w:t xml:space="preserve"> také uvádí, že minimalizace potravinového odpadu je vedle nižší spotřeby masných výrobků klíčovým faktore</w:t>
      </w:r>
      <w:r w:rsidR="00A42469" w:rsidRPr="00F15C89">
        <w:rPr>
          <w:rFonts w:ascii="Arial" w:eastAsia="Calibri" w:hAnsi="Arial" w:cs="Arial"/>
        </w:rPr>
        <w:t>m</w:t>
      </w:r>
      <w:r w:rsidRPr="00F15C89">
        <w:rPr>
          <w:rFonts w:ascii="Arial" w:eastAsia="Calibri" w:hAnsi="Arial" w:cs="Arial"/>
        </w:rPr>
        <w:t xml:space="preserve"> v nákladech životního cyklu stravovacích služeb</w:t>
      </w:r>
      <w:r w:rsidR="00D12B8E" w:rsidRPr="00F15C89">
        <w:rPr>
          <w:rStyle w:val="Znakapoznpodarou"/>
          <w:rFonts w:ascii="Arial" w:eastAsia="Calibri" w:hAnsi="Arial" w:cs="Arial"/>
          <w:vertAlign w:val="superscript"/>
        </w:rPr>
        <w:footnoteReference w:id="36"/>
      </w:r>
      <w:r w:rsidRPr="00F15C89">
        <w:rPr>
          <w:rFonts w:ascii="Arial" w:eastAsia="Calibri" w:hAnsi="Arial" w:cs="Arial"/>
        </w:rPr>
        <w:t>.</w:t>
      </w:r>
    </w:p>
    <w:p w14:paraId="33AEE655" w14:textId="77777777" w:rsidR="00D36967" w:rsidRPr="00F15C89" w:rsidRDefault="00D36967" w:rsidP="00F35517">
      <w:pPr>
        <w:spacing w:after="0" w:line="240" w:lineRule="auto"/>
        <w:jc w:val="both"/>
        <w:rPr>
          <w:rFonts w:ascii="Arial" w:eastAsia="Calibri" w:hAnsi="Arial" w:cs="Arial"/>
        </w:rPr>
      </w:pPr>
    </w:p>
    <w:p w14:paraId="05791C74" w14:textId="3668F03A" w:rsidR="00782A42" w:rsidRPr="00F15C89" w:rsidRDefault="00F85BFF" w:rsidP="008138CC">
      <w:pPr>
        <w:spacing w:after="0" w:line="240" w:lineRule="auto"/>
        <w:ind w:firstLine="426"/>
        <w:jc w:val="both"/>
        <w:rPr>
          <w:rFonts w:ascii="Arial" w:eastAsia="Calibri" w:hAnsi="Arial" w:cs="Arial"/>
        </w:rPr>
      </w:pPr>
      <w:r w:rsidRPr="00F15C89">
        <w:rPr>
          <w:rFonts w:ascii="Arial" w:eastAsia="Calibri" w:hAnsi="Arial" w:cs="Arial"/>
        </w:rPr>
        <w:t xml:space="preserve">Snížení potravinového odpadu </w:t>
      </w:r>
      <w:r w:rsidR="008D64E0" w:rsidRPr="00F15C89">
        <w:rPr>
          <w:rFonts w:ascii="Arial" w:eastAsia="Calibri" w:hAnsi="Arial" w:cs="Arial"/>
        </w:rPr>
        <w:t xml:space="preserve">pomůže snížit </w:t>
      </w:r>
      <w:r w:rsidR="000E2B60" w:rsidRPr="00F15C89">
        <w:rPr>
          <w:rFonts w:ascii="Arial" w:eastAsia="Calibri" w:hAnsi="Arial" w:cs="Arial"/>
        </w:rPr>
        <w:t xml:space="preserve">finanční nákladnost </w:t>
      </w:r>
      <w:r w:rsidR="008D64E0" w:rsidRPr="00F15C89">
        <w:rPr>
          <w:rFonts w:ascii="Arial" w:eastAsia="Calibri" w:hAnsi="Arial" w:cs="Arial"/>
        </w:rPr>
        <w:t xml:space="preserve">a environmentální dopady </w:t>
      </w:r>
      <w:r w:rsidR="00A6151C" w:rsidRPr="00F15C89">
        <w:rPr>
          <w:rFonts w:ascii="Arial" w:eastAsia="Calibri" w:hAnsi="Arial" w:cs="Arial"/>
        </w:rPr>
        <w:t>stravovacích služeb</w:t>
      </w:r>
      <w:r w:rsidR="00D36967" w:rsidRPr="00F15C89">
        <w:rPr>
          <w:rFonts w:ascii="Arial" w:eastAsia="Calibri" w:hAnsi="Arial" w:cs="Arial"/>
        </w:rPr>
        <w:t xml:space="preserve">. </w:t>
      </w:r>
      <w:r w:rsidR="003B13CA" w:rsidRPr="00F15C89">
        <w:rPr>
          <w:rFonts w:ascii="Arial" w:eastAsia="Calibri" w:hAnsi="Arial" w:cs="Arial"/>
        </w:rPr>
        <w:t>Pokud se odpadem stáv</w:t>
      </w:r>
      <w:r w:rsidR="00DD5495" w:rsidRPr="00F15C89">
        <w:rPr>
          <w:rFonts w:ascii="Arial" w:eastAsia="Calibri" w:hAnsi="Arial" w:cs="Arial"/>
        </w:rPr>
        <w:t>ají pokrmy</w:t>
      </w:r>
      <w:r w:rsidR="0057340B" w:rsidRPr="00F15C89">
        <w:rPr>
          <w:rFonts w:ascii="Arial" w:eastAsia="Calibri" w:hAnsi="Arial" w:cs="Arial"/>
        </w:rPr>
        <w:t xml:space="preserve"> nebo potraviny</w:t>
      </w:r>
      <w:r w:rsidR="008F71C3" w:rsidRPr="00F15C89">
        <w:rPr>
          <w:rFonts w:ascii="Arial" w:eastAsia="Calibri" w:hAnsi="Arial" w:cs="Arial"/>
        </w:rPr>
        <w:t xml:space="preserve">, jedná se </w:t>
      </w:r>
      <w:r w:rsidR="00253421" w:rsidRPr="00F15C89">
        <w:rPr>
          <w:rFonts w:ascii="Arial" w:eastAsia="Calibri" w:hAnsi="Arial" w:cs="Arial"/>
        </w:rPr>
        <w:t>o</w:t>
      </w:r>
      <w:r w:rsidR="00253421">
        <w:rPr>
          <w:rFonts w:ascii="Arial" w:eastAsia="Calibri" w:hAnsi="Arial" w:cs="Arial"/>
        </w:rPr>
        <w:t> </w:t>
      </w:r>
      <w:r w:rsidR="00D56F2D" w:rsidRPr="00F15C89">
        <w:rPr>
          <w:rFonts w:ascii="Arial" w:eastAsia="Calibri" w:hAnsi="Arial" w:cs="Arial"/>
        </w:rPr>
        <w:t>plýtvání</w:t>
      </w:r>
      <w:r w:rsidR="00EB3B8C" w:rsidRPr="00F15C89">
        <w:rPr>
          <w:rFonts w:ascii="Arial" w:eastAsia="Calibri" w:hAnsi="Arial" w:cs="Arial"/>
        </w:rPr>
        <w:t xml:space="preserve"> cenný</w:t>
      </w:r>
      <w:r w:rsidR="00D56F2D" w:rsidRPr="00F15C89">
        <w:rPr>
          <w:rFonts w:ascii="Arial" w:eastAsia="Calibri" w:hAnsi="Arial" w:cs="Arial"/>
        </w:rPr>
        <w:t>mi</w:t>
      </w:r>
      <w:r w:rsidR="00EB3B8C" w:rsidRPr="00F15C89">
        <w:rPr>
          <w:rFonts w:ascii="Arial" w:eastAsia="Calibri" w:hAnsi="Arial" w:cs="Arial"/>
        </w:rPr>
        <w:t xml:space="preserve"> zdroj</w:t>
      </w:r>
      <w:r w:rsidR="00D56F2D" w:rsidRPr="00F15C89">
        <w:rPr>
          <w:rFonts w:ascii="Arial" w:eastAsia="Calibri" w:hAnsi="Arial" w:cs="Arial"/>
        </w:rPr>
        <w:t>i</w:t>
      </w:r>
      <w:r w:rsidR="00EB3B8C" w:rsidRPr="00F15C89">
        <w:rPr>
          <w:rFonts w:ascii="Arial" w:eastAsia="Calibri" w:hAnsi="Arial" w:cs="Arial"/>
        </w:rPr>
        <w:t>.</w:t>
      </w:r>
      <w:r w:rsidR="00D36967" w:rsidRPr="00F15C89">
        <w:rPr>
          <w:rFonts w:ascii="Arial" w:eastAsia="Calibri" w:hAnsi="Arial" w:cs="Arial"/>
        </w:rPr>
        <w:t xml:space="preserve"> </w:t>
      </w:r>
      <w:r w:rsidR="00150BA8" w:rsidRPr="00F15C89">
        <w:rPr>
          <w:rFonts w:ascii="Arial" w:eastAsia="Calibri" w:hAnsi="Arial" w:cs="Arial"/>
        </w:rPr>
        <w:t xml:space="preserve">Potraviny mají vysokou uhlíkovou stopu </w:t>
      </w:r>
      <w:r w:rsidR="007B630E" w:rsidRPr="00F15C89">
        <w:rPr>
          <w:rFonts w:ascii="Arial" w:eastAsia="Calibri" w:hAnsi="Arial" w:cs="Arial"/>
        </w:rPr>
        <w:t>v souvislosti s</w:t>
      </w:r>
      <w:r w:rsidR="009705F9" w:rsidRPr="00F15C89">
        <w:rPr>
          <w:rFonts w:ascii="Arial" w:eastAsia="Calibri" w:hAnsi="Arial" w:cs="Arial"/>
        </w:rPr>
        <w:t> </w:t>
      </w:r>
      <w:r w:rsidR="00AB7CF6" w:rsidRPr="00F15C89">
        <w:rPr>
          <w:rFonts w:ascii="Arial" w:eastAsia="Calibri" w:hAnsi="Arial" w:cs="Arial"/>
        </w:rPr>
        <w:t>energi</w:t>
      </w:r>
      <w:r w:rsidR="007B630E" w:rsidRPr="00F15C89">
        <w:rPr>
          <w:rFonts w:ascii="Arial" w:eastAsia="Calibri" w:hAnsi="Arial" w:cs="Arial"/>
        </w:rPr>
        <w:t>emi</w:t>
      </w:r>
      <w:r w:rsidR="00AB7CF6" w:rsidRPr="00F15C89">
        <w:rPr>
          <w:rFonts w:ascii="Arial" w:eastAsia="Calibri" w:hAnsi="Arial" w:cs="Arial"/>
        </w:rPr>
        <w:t xml:space="preserve"> nutným</w:t>
      </w:r>
      <w:r w:rsidR="007B630E" w:rsidRPr="00F15C89">
        <w:rPr>
          <w:rFonts w:ascii="Arial" w:eastAsia="Calibri" w:hAnsi="Arial" w:cs="Arial"/>
        </w:rPr>
        <w:t>i</w:t>
      </w:r>
      <w:r w:rsidR="00AB7CF6" w:rsidRPr="00F15C89">
        <w:rPr>
          <w:rFonts w:ascii="Arial" w:eastAsia="Calibri" w:hAnsi="Arial" w:cs="Arial"/>
        </w:rPr>
        <w:t xml:space="preserve"> k je</w:t>
      </w:r>
      <w:r w:rsidR="00EB18F0" w:rsidRPr="00F15C89">
        <w:rPr>
          <w:rFonts w:ascii="Arial" w:eastAsia="Calibri" w:hAnsi="Arial" w:cs="Arial"/>
        </w:rPr>
        <w:t>jich</w:t>
      </w:r>
      <w:r w:rsidR="00AB7CF6" w:rsidRPr="00F15C89">
        <w:rPr>
          <w:rFonts w:ascii="Arial" w:eastAsia="Calibri" w:hAnsi="Arial" w:cs="Arial"/>
        </w:rPr>
        <w:t xml:space="preserve"> produkci, </w:t>
      </w:r>
      <w:r w:rsidR="000E2EC6" w:rsidRPr="00F15C89">
        <w:rPr>
          <w:rFonts w:ascii="Arial" w:eastAsia="Calibri" w:hAnsi="Arial" w:cs="Arial"/>
        </w:rPr>
        <w:t>sklizni, přepravě, zpracování, balení</w:t>
      </w:r>
      <w:r w:rsidR="004B1446" w:rsidRPr="00F15C89">
        <w:rPr>
          <w:rFonts w:ascii="Arial" w:eastAsia="Calibri" w:hAnsi="Arial" w:cs="Arial"/>
        </w:rPr>
        <w:t xml:space="preserve"> a přípravě pokrmů z n</w:t>
      </w:r>
      <w:r w:rsidR="00EB18F0" w:rsidRPr="00F15C89">
        <w:rPr>
          <w:rFonts w:ascii="Arial" w:eastAsia="Calibri" w:hAnsi="Arial" w:cs="Arial"/>
        </w:rPr>
        <w:t>ich</w:t>
      </w:r>
      <w:r w:rsidR="004B1446" w:rsidRPr="00F15C89">
        <w:rPr>
          <w:rFonts w:ascii="Arial" w:eastAsia="Calibri" w:hAnsi="Arial" w:cs="Arial"/>
        </w:rPr>
        <w:t xml:space="preserve">. </w:t>
      </w:r>
      <w:r w:rsidR="00D1389C" w:rsidRPr="00F15C89">
        <w:rPr>
          <w:rFonts w:ascii="Arial" w:eastAsia="Calibri" w:hAnsi="Arial" w:cs="Arial"/>
        </w:rPr>
        <w:t xml:space="preserve">Navíc jídlo, které se stává odpadem v pozdějších fázích </w:t>
      </w:r>
      <w:r w:rsidR="001B115E" w:rsidRPr="00F15C89">
        <w:rPr>
          <w:rFonts w:ascii="Arial" w:eastAsia="Calibri" w:hAnsi="Arial" w:cs="Arial"/>
        </w:rPr>
        <w:t>jeho př</w:t>
      </w:r>
      <w:r w:rsidR="00517561" w:rsidRPr="00F15C89">
        <w:rPr>
          <w:rFonts w:ascii="Arial" w:eastAsia="Calibri" w:hAnsi="Arial" w:cs="Arial"/>
        </w:rPr>
        <w:t>í</w:t>
      </w:r>
      <w:r w:rsidR="001B115E" w:rsidRPr="00F15C89">
        <w:rPr>
          <w:rFonts w:ascii="Arial" w:eastAsia="Calibri" w:hAnsi="Arial" w:cs="Arial"/>
        </w:rPr>
        <w:t xml:space="preserve">pravy má větší negativní dopady </w:t>
      </w:r>
      <w:r w:rsidR="00787CB8" w:rsidRPr="00F15C89">
        <w:rPr>
          <w:rFonts w:ascii="Arial" w:eastAsia="Calibri" w:hAnsi="Arial" w:cs="Arial"/>
        </w:rPr>
        <w:t>než potraviny, které se stanou odpadem již ve fázi zemědělské výroby</w:t>
      </w:r>
      <w:r w:rsidR="003808B4" w:rsidRPr="00F15C89">
        <w:rPr>
          <w:rFonts w:ascii="Arial" w:eastAsia="Calibri" w:hAnsi="Arial" w:cs="Arial"/>
        </w:rPr>
        <w:t xml:space="preserve">, protože </w:t>
      </w:r>
      <w:r w:rsidR="005F427C" w:rsidRPr="00F15C89">
        <w:rPr>
          <w:rFonts w:ascii="Arial" w:eastAsia="Calibri" w:hAnsi="Arial" w:cs="Arial"/>
        </w:rPr>
        <w:t>je nutno započítat další zdroje (</w:t>
      </w:r>
      <w:r w:rsidR="00B9750B" w:rsidRPr="00F15C89">
        <w:rPr>
          <w:rFonts w:ascii="Arial" w:eastAsia="Calibri" w:hAnsi="Arial" w:cs="Arial"/>
        </w:rPr>
        <w:t>např. personální náklady, dopravu a balení</w:t>
      </w:r>
      <w:r w:rsidR="007B630E" w:rsidRPr="00F15C89">
        <w:rPr>
          <w:rFonts w:ascii="Arial" w:eastAsia="Calibri" w:hAnsi="Arial" w:cs="Arial"/>
        </w:rPr>
        <w:t xml:space="preserve">, viz </w:t>
      </w:r>
      <w:r w:rsidR="00D36967" w:rsidRPr="00F15C89">
        <w:rPr>
          <w:rFonts w:ascii="Arial" w:eastAsia="Calibri" w:hAnsi="Arial" w:cs="Arial"/>
        </w:rPr>
        <w:t>Betz et al</w:t>
      </w:r>
      <w:r w:rsidR="00B117D1" w:rsidRPr="00F15C89">
        <w:rPr>
          <w:rFonts w:ascii="Arial" w:eastAsia="Calibri" w:hAnsi="Arial" w:cs="Arial"/>
        </w:rPr>
        <w:t>.</w:t>
      </w:r>
      <w:r w:rsidR="00D36967" w:rsidRPr="00F15C89">
        <w:rPr>
          <w:rFonts w:ascii="Arial" w:eastAsia="Calibri" w:hAnsi="Arial" w:cs="Arial"/>
        </w:rPr>
        <w:t>, 2015).</w:t>
      </w:r>
      <w:r w:rsidR="00D866A8" w:rsidRPr="00F15C89">
        <w:rPr>
          <w:rStyle w:val="Znakapoznpodarou"/>
          <w:rFonts w:ascii="Arial" w:eastAsia="Calibri" w:hAnsi="Arial" w:cs="Arial"/>
          <w:vertAlign w:val="superscript"/>
        </w:rPr>
        <w:footnoteReference w:id="37"/>
      </w:r>
    </w:p>
    <w:p w14:paraId="0A7049E0" w14:textId="77777777" w:rsidR="00297D2B" w:rsidRPr="00F15C89" w:rsidRDefault="00297D2B" w:rsidP="00F35517">
      <w:pPr>
        <w:spacing w:after="0" w:line="240" w:lineRule="auto"/>
        <w:jc w:val="both"/>
        <w:rPr>
          <w:rFonts w:ascii="Arial" w:hAnsi="Arial" w:cs="Arial"/>
          <w:b/>
          <w:i/>
          <w:highlight w:val="green"/>
        </w:rPr>
      </w:pPr>
    </w:p>
    <w:p w14:paraId="234016E4" w14:textId="65945BF5" w:rsidR="00297D2B" w:rsidRPr="00F15C89" w:rsidRDefault="00297D2B" w:rsidP="00F35517">
      <w:pPr>
        <w:pStyle w:val="Odstavecseseznamem"/>
        <w:numPr>
          <w:ilvl w:val="0"/>
          <w:numId w:val="42"/>
        </w:numPr>
        <w:spacing w:after="0" w:line="240" w:lineRule="auto"/>
        <w:ind w:left="284" w:hanging="284"/>
        <w:jc w:val="both"/>
        <w:rPr>
          <w:rFonts w:ascii="Arial" w:hAnsi="Arial" w:cs="Arial"/>
        </w:rPr>
      </w:pPr>
      <w:r w:rsidRPr="00F15C89">
        <w:rPr>
          <w:rFonts w:ascii="Arial" w:hAnsi="Arial" w:cs="Arial"/>
        </w:rPr>
        <w:t>Poskytování kohoutkové pitné vody</w:t>
      </w:r>
    </w:p>
    <w:p w14:paraId="32A1F724" w14:textId="16312977" w:rsidR="00AE5A0F" w:rsidRPr="00F15C89" w:rsidRDefault="00782A42" w:rsidP="008138CC">
      <w:pPr>
        <w:spacing w:after="0" w:line="240" w:lineRule="auto"/>
        <w:ind w:firstLine="426"/>
        <w:jc w:val="both"/>
        <w:rPr>
          <w:rStyle w:val="normaltextrun"/>
          <w:rFonts w:ascii="Arial" w:hAnsi="Arial" w:cs="Arial"/>
          <w:b/>
          <w:bCs/>
          <w:color w:val="000000"/>
          <w:shd w:val="clear" w:color="auto" w:fill="FFFFFF"/>
        </w:rPr>
      </w:pPr>
      <w:r w:rsidRPr="00F15C89">
        <w:rPr>
          <w:rFonts w:ascii="Arial" w:eastAsia="Calibri" w:hAnsi="Arial" w:cs="Arial"/>
        </w:rPr>
        <w:lastRenderedPageBreak/>
        <w:t>Standard vychází z Kritérií pro zadávání zelených veřejných zakázek v EU pro stravování, stravovací služby a prodejní automaty</w:t>
      </w:r>
      <w:r w:rsidR="003D60A9" w:rsidRPr="00F15C89">
        <w:rPr>
          <w:rFonts w:ascii="Arial" w:eastAsia="Calibri" w:hAnsi="Arial" w:cs="Arial"/>
        </w:rPr>
        <w:t xml:space="preserve">. </w:t>
      </w:r>
      <w:r w:rsidR="005C59E5" w:rsidRPr="00F15C89">
        <w:rPr>
          <w:rFonts w:ascii="Arial" w:hAnsi="Arial" w:cs="Arial"/>
        </w:rPr>
        <w:t xml:space="preserve">Poskytnutí pitné kohoutkové vody zdarma má nepoměrně menší dopad na životní prostředí než poskytování balené vody, zcela jsou eliminovány jednorázové obaly nápoje. O poskytování kohoutkové pitné vody zdarma je vhodné nadto strávníky přiměřeně informovat v dotčených prostorách např. cedulkami </w:t>
      </w:r>
      <w:r w:rsidR="00253421">
        <w:rPr>
          <w:rFonts w:ascii="Arial" w:hAnsi="Arial" w:cs="Arial"/>
        </w:rPr>
        <w:t> </w:t>
      </w:r>
      <w:r w:rsidR="00253421" w:rsidRPr="00F15C89">
        <w:rPr>
          <w:rFonts w:ascii="Arial" w:hAnsi="Arial" w:cs="Arial"/>
        </w:rPr>
        <w:t>s</w:t>
      </w:r>
      <w:r w:rsidR="00253421">
        <w:rPr>
          <w:rFonts w:ascii="Arial" w:hAnsi="Arial" w:cs="Arial"/>
        </w:rPr>
        <w:t> </w:t>
      </w:r>
      <w:r w:rsidR="005C59E5" w:rsidRPr="00F15C89">
        <w:rPr>
          <w:rFonts w:ascii="Arial" w:hAnsi="Arial" w:cs="Arial"/>
        </w:rPr>
        <w:t xml:space="preserve">textem o možnosti poskytování kohoutkové vody zdarma. </w:t>
      </w:r>
      <w:r w:rsidR="00B117D1" w:rsidRPr="00F15C89">
        <w:rPr>
          <w:rFonts w:ascii="Arial" w:eastAsia="Calibri" w:hAnsi="Arial" w:cs="Arial"/>
        </w:rPr>
        <w:t xml:space="preserve">Ke splnění standardu postačí </w:t>
      </w:r>
      <w:r w:rsidR="00CB0111" w:rsidRPr="00F15C89">
        <w:rPr>
          <w:rFonts w:ascii="Arial" w:eastAsia="Calibri" w:hAnsi="Arial" w:cs="Arial"/>
        </w:rPr>
        <w:t>přímý přístup k vodovodnímu kohoutku s opětovně použitelnými sklenicemi k pití anebo poskytnutí</w:t>
      </w:r>
      <w:r w:rsidR="00CD7B51" w:rsidRPr="00F15C89">
        <w:rPr>
          <w:rFonts w:ascii="Arial" w:eastAsia="Calibri" w:hAnsi="Arial" w:cs="Arial"/>
        </w:rPr>
        <w:t xml:space="preserve"> </w:t>
      </w:r>
      <w:r w:rsidR="00CB0111" w:rsidRPr="00F15C89">
        <w:rPr>
          <w:rFonts w:ascii="Arial" w:eastAsia="Calibri" w:hAnsi="Arial" w:cs="Arial"/>
        </w:rPr>
        <w:t>kohoutkové pitné vod</w:t>
      </w:r>
      <w:r w:rsidR="00B50966" w:rsidRPr="00F15C89">
        <w:rPr>
          <w:rFonts w:ascii="Arial" w:eastAsia="Calibri" w:hAnsi="Arial" w:cs="Arial"/>
        </w:rPr>
        <w:t>y</w:t>
      </w:r>
      <w:r w:rsidR="00CB0111" w:rsidRPr="00F15C89">
        <w:rPr>
          <w:rFonts w:ascii="Arial" w:eastAsia="Calibri" w:hAnsi="Arial" w:cs="Arial"/>
        </w:rPr>
        <w:t xml:space="preserve"> ve džbán</w:t>
      </w:r>
      <w:r w:rsidR="00C771D2" w:rsidRPr="00F15C89">
        <w:rPr>
          <w:rFonts w:ascii="Arial" w:eastAsia="Calibri" w:hAnsi="Arial" w:cs="Arial"/>
        </w:rPr>
        <w:t>u</w:t>
      </w:r>
      <w:r w:rsidR="00CB0111" w:rsidRPr="00F15C89">
        <w:rPr>
          <w:rFonts w:ascii="Arial" w:eastAsia="Calibri" w:hAnsi="Arial" w:cs="Arial"/>
        </w:rPr>
        <w:t xml:space="preserve"> či jiné nádobě. </w:t>
      </w:r>
      <w:r w:rsidR="00AE5A0F" w:rsidRPr="00F15C89">
        <w:rPr>
          <w:rStyle w:val="normaltextrun"/>
          <w:rFonts w:ascii="Arial" w:hAnsi="Arial" w:cs="Arial"/>
          <w:b/>
          <w:bCs/>
          <w:color w:val="000000"/>
          <w:shd w:val="clear" w:color="auto" w:fill="FFFFFF"/>
        </w:rPr>
        <w:br w:type="page"/>
      </w:r>
    </w:p>
    <w:p w14:paraId="682E9CE6" w14:textId="7E12CF27" w:rsidR="00F13BB9" w:rsidRPr="00F15C89" w:rsidRDefault="00F13BB9" w:rsidP="00B46EEA">
      <w:pPr>
        <w:pStyle w:val="Nadpis1"/>
        <w:rPr>
          <w:rStyle w:val="normaltextrun"/>
          <w:rFonts w:cs="Arial"/>
          <w:sz w:val="22"/>
          <w:szCs w:val="22"/>
        </w:rPr>
      </w:pPr>
      <w:bookmarkStart w:id="13" w:name="_Toc197677981"/>
      <w:bookmarkStart w:id="14" w:name="_Toc198290968"/>
      <w:r w:rsidRPr="00F15C89">
        <w:rPr>
          <w:rStyle w:val="normaltextrun"/>
          <w:rFonts w:cs="Arial"/>
          <w:color w:val="000000"/>
          <w:sz w:val="22"/>
          <w:szCs w:val="22"/>
          <w:shd w:val="clear" w:color="auto" w:fill="FFFFFF"/>
        </w:rPr>
        <w:lastRenderedPageBreak/>
        <w:t xml:space="preserve">Minimální standardy </w:t>
      </w:r>
      <w:r w:rsidRPr="00F15C89">
        <w:rPr>
          <w:rStyle w:val="eop"/>
          <w:rFonts w:cs="Arial"/>
          <w:color w:val="000000"/>
          <w:sz w:val="22"/>
          <w:szCs w:val="22"/>
          <w:shd w:val="clear" w:color="auto" w:fill="FFFFFF"/>
        </w:rPr>
        <w:t xml:space="preserve">OVZ </w:t>
      </w:r>
      <w:r w:rsidRPr="00F15C89">
        <w:rPr>
          <w:rStyle w:val="normaltextrun"/>
          <w:rFonts w:cs="Arial"/>
          <w:color w:val="000000"/>
          <w:sz w:val="22"/>
          <w:szCs w:val="22"/>
          <w:shd w:val="clear" w:color="auto" w:fill="FFFFFF"/>
        </w:rPr>
        <w:t>pro zajištění úklidových služeb administrativních budov</w:t>
      </w:r>
      <w:bookmarkEnd w:id="13"/>
      <w:bookmarkEnd w:id="14"/>
    </w:p>
    <w:p w14:paraId="6494697E" w14:textId="77777777" w:rsidR="00A204FB" w:rsidRPr="00F15C89" w:rsidRDefault="00A204FB" w:rsidP="00F5454E">
      <w:pPr>
        <w:pStyle w:val="Titulek"/>
        <w:spacing w:after="0"/>
        <w:jc w:val="both"/>
        <w:rPr>
          <w:rFonts w:ascii="Arial" w:hAnsi="Arial" w:cs="Arial"/>
          <w:sz w:val="22"/>
          <w:szCs w:val="22"/>
        </w:rPr>
      </w:pPr>
      <w:bookmarkStart w:id="15" w:name="_Toc194053152"/>
    </w:p>
    <w:p w14:paraId="6F48DB6E" w14:textId="792D9405" w:rsidR="00F13BB9" w:rsidRPr="00F15C89" w:rsidRDefault="008C008D" w:rsidP="00F5454E">
      <w:pPr>
        <w:pStyle w:val="Titulek"/>
        <w:spacing w:after="0"/>
        <w:jc w:val="both"/>
        <w:rPr>
          <w:rStyle w:val="normaltextrun"/>
          <w:rFonts w:ascii="Arial" w:hAnsi="Arial" w:cs="Arial"/>
          <w:sz w:val="22"/>
          <w:szCs w:val="22"/>
          <w:highlight w:val="lightGray"/>
        </w:rPr>
      </w:pPr>
      <w:r w:rsidRPr="00F15C89">
        <w:rPr>
          <w:rFonts w:ascii="Arial" w:hAnsi="Arial" w:cs="Arial"/>
          <w:sz w:val="22"/>
          <w:szCs w:val="22"/>
        </w:rPr>
        <w:t xml:space="preserve">Tabulka </w:t>
      </w:r>
      <w:r w:rsidRPr="00F15C89">
        <w:rPr>
          <w:rFonts w:ascii="Arial" w:hAnsi="Arial" w:cs="Arial"/>
          <w:sz w:val="22"/>
          <w:szCs w:val="22"/>
        </w:rPr>
        <w:fldChar w:fldCharType="begin"/>
      </w:r>
      <w:r w:rsidRPr="00F15C89">
        <w:rPr>
          <w:rFonts w:ascii="Arial" w:hAnsi="Arial" w:cs="Arial"/>
          <w:sz w:val="22"/>
          <w:szCs w:val="22"/>
        </w:rPr>
        <w:instrText xml:space="preserve"> SEQ Tabulka \* ARABIC </w:instrText>
      </w:r>
      <w:r w:rsidRPr="00F15C89">
        <w:rPr>
          <w:rFonts w:ascii="Arial" w:hAnsi="Arial" w:cs="Arial"/>
          <w:sz w:val="22"/>
          <w:szCs w:val="22"/>
        </w:rPr>
        <w:fldChar w:fldCharType="separate"/>
      </w:r>
      <w:r w:rsidR="001106E6" w:rsidRPr="00F15C89">
        <w:rPr>
          <w:rFonts w:ascii="Arial" w:hAnsi="Arial" w:cs="Arial"/>
          <w:noProof/>
          <w:sz w:val="22"/>
          <w:szCs w:val="22"/>
        </w:rPr>
        <w:t>6</w:t>
      </w:r>
      <w:r w:rsidRPr="00F15C89">
        <w:rPr>
          <w:rFonts w:ascii="Arial" w:hAnsi="Arial" w:cs="Arial"/>
          <w:sz w:val="22"/>
          <w:szCs w:val="22"/>
        </w:rPr>
        <w:fldChar w:fldCharType="end"/>
      </w:r>
      <w:r w:rsidR="00A0185F" w:rsidRPr="00F15C89">
        <w:rPr>
          <w:rFonts w:ascii="Arial" w:hAnsi="Arial" w:cs="Arial"/>
          <w:sz w:val="22"/>
          <w:szCs w:val="22"/>
        </w:rPr>
        <w:t xml:space="preserve"> Finanční objemy VZ pro </w:t>
      </w:r>
      <w:r w:rsidR="00804DF9" w:rsidRPr="00F15C89">
        <w:rPr>
          <w:rFonts w:ascii="Arial" w:hAnsi="Arial" w:cs="Arial"/>
          <w:sz w:val="22"/>
          <w:szCs w:val="22"/>
        </w:rPr>
        <w:t>zajištění úklidových služeb administrativních budov</w:t>
      </w:r>
      <w:bookmarkEnd w:id="15"/>
    </w:p>
    <w:tbl>
      <w:tblPr>
        <w:tblW w:w="4957" w:type="dxa"/>
        <w:tblCellMar>
          <w:top w:w="15" w:type="dxa"/>
          <w:left w:w="70" w:type="dxa"/>
          <w:bottom w:w="15" w:type="dxa"/>
          <w:right w:w="70" w:type="dxa"/>
        </w:tblCellMar>
        <w:tblLook w:val="04A0" w:firstRow="1" w:lastRow="0" w:firstColumn="1" w:lastColumn="0" w:noHBand="0" w:noVBand="1"/>
      </w:tblPr>
      <w:tblGrid>
        <w:gridCol w:w="2263"/>
        <w:gridCol w:w="2694"/>
      </w:tblGrid>
      <w:tr w:rsidR="00F13BB9" w:rsidRPr="00F15C89" w14:paraId="6E6F716B" w14:textId="77777777" w:rsidTr="00721D93">
        <w:trPr>
          <w:trHeight w:val="300"/>
        </w:trPr>
        <w:tc>
          <w:tcPr>
            <w:tcW w:w="2263" w:type="dxa"/>
            <w:tcBorders>
              <w:top w:val="single" w:sz="4" w:space="0" w:color="auto"/>
              <w:left w:val="single" w:sz="4" w:space="0" w:color="auto"/>
              <w:bottom w:val="single" w:sz="4" w:space="0" w:color="auto"/>
              <w:right w:val="single" w:sz="4" w:space="0" w:color="auto"/>
            </w:tcBorders>
            <w:noWrap/>
          </w:tcPr>
          <w:p w14:paraId="5074D46F" w14:textId="43884AC5" w:rsidR="00F13BB9" w:rsidRPr="00F15C89" w:rsidRDefault="008C008D"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 xml:space="preserve">Objem VZ </w:t>
            </w:r>
            <w:r w:rsidR="00761BF8" w:rsidRPr="00F15C89">
              <w:rPr>
                <w:rFonts w:ascii="Arial" w:eastAsia="Times New Roman" w:hAnsi="Arial" w:cs="Arial"/>
                <w:color w:val="000000"/>
                <w:lang w:eastAsia="cs-CZ"/>
              </w:rPr>
              <w:t xml:space="preserve">za rok </w:t>
            </w:r>
            <w:r w:rsidR="00F13BB9" w:rsidRPr="00F15C89">
              <w:rPr>
                <w:rFonts w:ascii="Arial" w:eastAsia="Times New Roman" w:hAnsi="Arial" w:cs="Arial"/>
                <w:color w:val="000000"/>
                <w:lang w:eastAsia="cs-CZ"/>
              </w:rPr>
              <w:t>2022</w:t>
            </w:r>
          </w:p>
        </w:tc>
        <w:tc>
          <w:tcPr>
            <w:tcW w:w="2694" w:type="dxa"/>
            <w:tcBorders>
              <w:top w:val="single" w:sz="4" w:space="0" w:color="auto"/>
              <w:left w:val="single" w:sz="4" w:space="0" w:color="auto"/>
              <w:bottom w:val="single" w:sz="4" w:space="0" w:color="auto"/>
              <w:right w:val="single" w:sz="4" w:space="0" w:color="auto"/>
            </w:tcBorders>
            <w:noWrap/>
          </w:tcPr>
          <w:p w14:paraId="2D0686D5" w14:textId="3A4177E7" w:rsidR="00F13BB9" w:rsidRPr="00F15C89" w:rsidRDefault="008C008D"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 xml:space="preserve">Objem VZ </w:t>
            </w:r>
            <w:r w:rsidR="00761BF8" w:rsidRPr="00F15C89">
              <w:rPr>
                <w:rFonts w:ascii="Arial" w:eastAsia="Times New Roman" w:hAnsi="Arial" w:cs="Arial"/>
                <w:color w:val="000000"/>
                <w:lang w:eastAsia="cs-CZ"/>
              </w:rPr>
              <w:t>za rok</w:t>
            </w:r>
            <w:r w:rsidR="00B023CA" w:rsidRPr="00F15C89">
              <w:rPr>
                <w:rFonts w:ascii="Arial" w:eastAsia="Times New Roman" w:hAnsi="Arial" w:cs="Arial"/>
                <w:color w:val="000000"/>
                <w:lang w:eastAsia="cs-CZ"/>
              </w:rPr>
              <w:t xml:space="preserve"> </w:t>
            </w:r>
            <w:r w:rsidR="00F13BB9" w:rsidRPr="00F15C89">
              <w:rPr>
                <w:rFonts w:ascii="Arial" w:eastAsia="Times New Roman" w:hAnsi="Arial" w:cs="Arial"/>
                <w:color w:val="000000"/>
                <w:lang w:eastAsia="cs-CZ"/>
              </w:rPr>
              <w:t>2023</w:t>
            </w:r>
          </w:p>
        </w:tc>
      </w:tr>
      <w:tr w:rsidR="00F13BB9" w:rsidRPr="00F15C89" w14:paraId="01BA73C0" w14:textId="77777777" w:rsidTr="00721D93">
        <w:trPr>
          <w:trHeight w:val="300"/>
        </w:trPr>
        <w:tc>
          <w:tcPr>
            <w:tcW w:w="2263" w:type="dxa"/>
            <w:tcBorders>
              <w:top w:val="single" w:sz="4" w:space="0" w:color="auto"/>
              <w:left w:val="single" w:sz="4" w:space="0" w:color="auto"/>
              <w:bottom w:val="single" w:sz="4" w:space="0" w:color="auto"/>
              <w:right w:val="single" w:sz="4" w:space="0" w:color="auto"/>
            </w:tcBorders>
            <w:noWrap/>
            <w:hideMark/>
          </w:tcPr>
          <w:p w14:paraId="21258A58" w14:textId="445F53A2" w:rsidR="00F13BB9" w:rsidRPr="00F15C89" w:rsidRDefault="00F13BB9"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1</w:t>
            </w:r>
            <w:r w:rsidR="006D2CD6" w:rsidRPr="00F15C89">
              <w:rPr>
                <w:rFonts w:ascii="Arial" w:eastAsia="Times New Roman" w:hAnsi="Arial" w:cs="Arial"/>
                <w:color w:val="000000"/>
                <w:lang w:eastAsia="cs-CZ"/>
              </w:rPr>
              <w:t>,9 mld.</w:t>
            </w:r>
            <w:r w:rsidRPr="00F15C89">
              <w:rPr>
                <w:rFonts w:ascii="Arial" w:eastAsia="Times New Roman" w:hAnsi="Arial" w:cs="Arial"/>
                <w:color w:val="000000"/>
                <w:lang w:eastAsia="cs-CZ"/>
              </w:rPr>
              <w:t xml:space="preserve"> </w:t>
            </w:r>
            <w:r w:rsidR="00C774CB" w:rsidRPr="00F15C89">
              <w:rPr>
                <w:rFonts w:ascii="Arial" w:eastAsia="Times New Roman" w:hAnsi="Arial" w:cs="Arial"/>
                <w:color w:val="000000"/>
                <w:lang w:eastAsia="cs-CZ"/>
              </w:rPr>
              <w:t>Kč</w:t>
            </w:r>
            <w:r w:rsidRPr="00F15C89">
              <w:rPr>
                <w:rFonts w:ascii="Arial" w:eastAsia="Times New Roman" w:hAnsi="Arial" w:cs="Arial"/>
                <w:color w:val="000000"/>
                <w:lang w:eastAsia="cs-CZ"/>
              </w:rPr>
              <w:t xml:space="preserve"> </w:t>
            </w:r>
          </w:p>
        </w:tc>
        <w:tc>
          <w:tcPr>
            <w:tcW w:w="2694" w:type="dxa"/>
            <w:tcBorders>
              <w:top w:val="single" w:sz="4" w:space="0" w:color="auto"/>
              <w:left w:val="single" w:sz="4" w:space="0" w:color="auto"/>
              <w:bottom w:val="single" w:sz="4" w:space="0" w:color="auto"/>
              <w:right w:val="single" w:sz="4" w:space="0" w:color="auto"/>
            </w:tcBorders>
            <w:noWrap/>
            <w:hideMark/>
          </w:tcPr>
          <w:p w14:paraId="38391A80" w14:textId="18184A64" w:rsidR="00F13BB9" w:rsidRPr="00F15C89" w:rsidRDefault="00F13BB9" w:rsidP="00F35517">
            <w:pPr>
              <w:spacing w:after="0" w:line="240" w:lineRule="auto"/>
              <w:jc w:val="both"/>
              <w:rPr>
                <w:rFonts w:ascii="Arial" w:eastAsia="Times New Roman" w:hAnsi="Arial" w:cs="Arial"/>
                <w:color w:val="000000"/>
                <w:lang w:eastAsia="cs-CZ"/>
              </w:rPr>
            </w:pPr>
            <w:r w:rsidRPr="00F15C89">
              <w:rPr>
                <w:rFonts w:ascii="Arial" w:eastAsia="Times New Roman" w:hAnsi="Arial" w:cs="Arial"/>
                <w:color w:val="000000"/>
                <w:lang w:eastAsia="cs-CZ"/>
              </w:rPr>
              <w:t>4</w:t>
            </w:r>
            <w:r w:rsidR="00B50966" w:rsidRPr="00F15C89">
              <w:rPr>
                <w:rFonts w:ascii="Arial" w:eastAsia="Times New Roman" w:hAnsi="Arial" w:cs="Arial"/>
                <w:color w:val="000000"/>
                <w:lang w:eastAsia="cs-CZ"/>
              </w:rPr>
              <w:t>,2</w:t>
            </w:r>
            <w:r w:rsidRPr="00F15C89">
              <w:rPr>
                <w:rFonts w:ascii="Arial" w:eastAsia="Times New Roman" w:hAnsi="Arial" w:cs="Arial"/>
                <w:color w:val="000000"/>
                <w:lang w:eastAsia="cs-CZ"/>
              </w:rPr>
              <w:t xml:space="preserve"> </w:t>
            </w:r>
            <w:r w:rsidR="000070A3" w:rsidRPr="00F15C89">
              <w:rPr>
                <w:rFonts w:ascii="Arial" w:eastAsia="Times New Roman" w:hAnsi="Arial" w:cs="Arial"/>
                <w:color w:val="000000"/>
                <w:lang w:eastAsia="cs-CZ"/>
              </w:rPr>
              <w:t>mld.</w:t>
            </w:r>
            <w:r w:rsidRPr="00F15C89">
              <w:rPr>
                <w:rFonts w:ascii="Arial" w:eastAsia="Times New Roman" w:hAnsi="Arial" w:cs="Arial"/>
                <w:color w:val="000000"/>
                <w:lang w:eastAsia="cs-CZ"/>
              </w:rPr>
              <w:t xml:space="preserve"> </w:t>
            </w:r>
            <w:r w:rsidR="00C774CB" w:rsidRPr="00F15C89">
              <w:rPr>
                <w:rFonts w:ascii="Arial" w:eastAsia="Times New Roman" w:hAnsi="Arial" w:cs="Arial"/>
                <w:color w:val="000000"/>
                <w:lang w:eastAsia="cs-CZ"/>
              </w:rPr>
              <w:t>Kč</w:t>
            </w:r>
            <w:r w:rsidRPr="00F15C89">
              <w:rPr>
                <w:rFonts w:ascii="Arial" w:eastAsia="Times New Roman" w:hAnsi="Arial" w:cs="Arial"/>
                <w:color w:val="000000"/>
                <w:lang w:eastAsia="cs-CZ"/>
              </w:rPr>
              <w:t xml:space="preserve"> </w:t>
            </w:r>
          </w:p>
        </w:tc>
      </w:tr>
    </w:tbl>
    <w:p w14:paraId="68F738A8" w14:textId="792448D3" w:rsidR="00F13BB9" w:rsidRPr="00F15C89" w:rsidRDefault="00993B6E" w:rsidP="00F35517">
      <w:pPr>
        <w:pStyle w:val="Odstavecseseznamem"/>
        <w:ind w:left="0"/>
        <w:jc w:val="both"/>
        <w:rPr>
          <w:rStyle w:val="normaltextrun"/>
          <w:rFonts w:ascii="Arial" w:hAnsi="Arial" w:cs="Arial"/>
          <w:highlight w:val="lightGray"/>
        </w:rPr>
      </w:pPr>
      <w:r w:rsidRPr="00F15C89">
        <w:rPr>
          <w:rFonts w:ascii="Arial" w:hAnsi="Arial" w:cs="Arial"/>
          <w:i/>
          <w:iCs/>
        </w:rPr>
        <w:t>Zdroj: Věstník veřejných zakázek</w:t>
      </w:r>
    </w:p>
    <w:p w14:paraId="6F456FCE" w14:textId="77777777" w:rsidR="00F13BB9" w:rsidRPr="00F15C89" w:rsidRDefault="00F13BB9" w:rsidP="00F35517">
      <w:pPr>
        <w:pStyle w:val="Odstavecseseznamem"/>
        <w:ind w:left="0"/>
        <w:jc w:val="both"/>
        <w:rPr>
          <w:rStyle w:val="normaltextrun"/>
          <w:rFonts w:ascii="Arial" w:hAnsi="Arial" w:cs="Arial"/>
          <w:highlight w:val="lightGray"/>
        </w:rPr>
      </w:pPr>
    </w:p>
    <w:p w14:paraId="27DA2972" w14:textId="1D5261EE" w:rsidR="00B20CC8" w:rsidRPr="00F15C89" w:rsidRDefault="00B20CC8" w:rsidP="005F1879">
      <w:pPr>
        <w:pStyle w:val="Odstavecseseznamem"/>
        <w:numPr>
          <w:ilvl w:val="0"/>
          <w:numId w:val="40"/>
        </w:numPr>
        <w:spacing w:after="0" w:line="240" w:lineRule="auto"/>
        <w:ind w:left="284" w:hanging="284"/>
        <w:jc w:val="both"/>
        <w:rPr>
          <w:rFonts w:ascii="Arial" w:hAnsi="Arial" w:cs="Arial"/>
        </w:rPr>
      </w:pPr>
      <w:r w:rsidRPr="00F15C89">
        <w:rPr>
          <w:rFonts w:ascii="Arial" w:hAnsi="Arial" w:cs="Arial"/>
          <w:color w:val="000000" w:themeColor="text1"/>
        </w:rPr>
        <w:t xml:space="preserve">Zajištění důstojných pracovních podmínek </w:t>
      </w:r>
      <w:r w:rsidRPr="00F15C89">
        <w:rPr>
          <w:rFonts w:ascii="Arial" w:eastAsia="Calibri" w:hAnsi="Arial" w:cs="Arial"/>
          <w:color w:val="000000" w:themeColor="text1"/>
        </w:rPr>
        <w:t xml:space="preserve">ve vztahu k dodržování právních předpisů </w:t>
      </w:r>
      <w:r w:rsidR="00253421" w:rsidRPr="00F15C89">
        <w:rPr>
          <w:rFonts w:ascii="Arial" w:eastAsia="Calibri" w:hAnsi="Arial" w:cs="Arial"/>
          <w:color w:val="000000" w:themeColor="text1"/>
        </w:rPr>
        <w:t>s</w:t>
      </w:r>
      <w:r w:rsidR="00253421">
        <w:rPr>
          <w:rFonts w:ascii="Arial" w:eastAsia="Calibri" w:hAnsi="Arial" w:cs="Arial"/>
          <w:color w:val="000000" w:themeColor="text1"/>
        </w:rPr>
        <w:t> </w:t>
      </w:r>
      <w:r w:rsidRPr="00F15C89">
        <w:rPr>
          <w:rFonts w:ascii="Arial" w:eastAsia="Calibri" w:hAnsi="Arial" w:cs="Arial"/>
          <w:color w:val="000000" w:themeColor="text1"/>
        </w:rPr>
        <w:t>důrazem na pracovněprávní předpisy</w:t>
      </w:r>
      <w:r w:rsidRPr="00F15C89">
        <w:rPr>
          <w:rFonts w:ascii="Arial" w:hAnsi="Arial" w:cs="Arial"/>
        </w:rPr>
        <w:t xml:space="preserve"> </w:t>
      </w:r>
    </w:p>
    <w:p w14:paraId="6B53A0A0" w14:textId="1A463398" w:rsidR="00F13BB9" w:rsidRPr="00F15C89" w:rsidRDefault="00A3097D" w:rsidP="008138CC">
      <w:pPr>
        <w:spacing w:after="0" w:line="240" w:lineRule="auto"/>
        <w:ind w:firstLine="426"/>
        <w:jc w:val="both"/>
        <w:rPr>
          <w:rFonts w:ascii="Arial" w:hAnsi="Arial" w:cs="Arial"/>
        </w:rPr>
      </w:pPr>
      <w:r w:rsidRPr="00F15C89">
        <w:rPr>
          <w:rFonts w:ascii="Arial" w:hAnsi="Arial" w:cs="Arial"/>
        </w:rPr>
        <w:t>V současné době p</w:t>
      </w:r>
      <w:r w:rsidR="00F13BB9" w:rsidRPr="00F15C89">
        <w:rPr>
          <w:rFonts w:ascii="Arial" w:hAnsi="Arial" w:cs="Arial"/>
        </w:rPr>
        <w:t xml:space="preserve">ři zajištění úklidových služeb administrativních objektů </w:t>
      </w:r>
      <w:r w:rsidR="006D5C1A" w:rsidRPr="00F15C89">
        <w:rPr>
          <w:rFonts w:ascii="Arial" w:hAnsi="Arial" w:cs="Arial"/>
        </w:rPr>
        <w:t xml:space="preserve">v řadě případů </w:t>
      </w:r>
      <w:r w:rsidR="00F13BB9" w:rsidRPr="00F15C89">
        <w:rPr>
          <w:rFonts w:ascii="Arial" w:hAnsi="Arial" w:cs="Arial"/>
        </w:rPr>
        <w:t>docház</w:t>
      </w:r>
      <w:r w:rsidR="006D5C1A" w:rsidRPr="00F15C89">
        <w:rPr>
          <w:rFonts w:ascii="Arial" w:hAnsi="Arial" w:cs="Arial"/>
        </w:rPr>
        <w:t>í</w:t>
      </w:r>
      <w:r w:rsidR="00F13BB9" w:rsidRPr="00F15C89">
        <w:rPr>
          <w:rFonts w:ascii="Arial" w:hAnsi="Arial" w:cs="Arial"/>
        </w:rPr>
        <w:t xml:space="preserve"> k obcházení </w:t>
      </w:r>
      <w:r w:rsidRPr="00F15C89">
        <w:rPr>
          <w:rFonts w:ascii="Arial" w:hAnsi="Arial" w:cs="Arial"/>
        </w:rPr>
        <w:t>a</w:t>
      </w:r>
      <w:r w:rsidR="00F13BB9" w:rsidRPr="00F15C89">
        <w:rPr>
          <w:rFonts w:ascii="Arial" w:hAnsi="Arial" w:cs="Arial"/>
        </w:rPr>
        <w:t xml:space="preserve"> porušování pracovněprávních předpisů ve vztahu k úklidovým pracovníkům</w:t>
      </w:r>
      <w:r w:rsidR="00A34F65" w:rsidRPr="00F15C89">
        <w:rPr>
          <w:rFonts w:ascii="Arial" w:hAnsi="Arial" w:cs="Arial"/>
        </w:rPr>
        <w:t xml:space="preserve">. Jedná se </w:t>
      </w:r>
      <w:r w:rsidR="00F13BB9" w:rsidRPr="00F15C89">
        <w:rPr>
          <w:rFonts w:ascii="Arial" w:hAnsi="Arial" w:cs="Arial"/>
        </w:rPr>
        <w:t xml:space="preserve">např. </w:t>
      </w:r>
      <w:r w:rsidR="00A34F65" w:rsidRPr="00F15C89">
        <w:rPr>
          <w:rFonts w:ascii="Arial" w:hAnsi="Arial" w:cs="Arial"/>
        </w:rPr>
        <w:t xml:space="preserve">o </w:t>
      </w:r>
      <w:r w:rsidR="00F13BB9" w:rsidRPr="00F15C89">
        <w:rPr>
          <w:rFonts w:ascii="Arial" w:hAnsi="Arial" w:cs="Arial"/>
        </w:rPr>
        <w:t>prác</w:t>
      </w:r>
      <w:r w:rsidR="00A34F65" w:rsidRPr="00F15C89">
        <w:rPr>
          <w:rFonts w:ascii="Arial" w:hAnsi="Arial" w:cs="Arial"/>
        </w:rPr>
        <w:t>i</w:t>
      </w:r>
      <w:r w:rsidR="00F13BB9" w:rsidRPr="00F15C89">
        <w:rPr>
          <w:rFonts w:ascii="Arial" w:hAnsi="Arial" w:cs="Arial"/>
        </w:rPr>
        <w:t xml:space="preserve"> bez platné pracovní smlouvy či dohody, použití dohody tam, kde přiléhá pracovní smlouva, souběžného uzavření pracovní smlouvy a</w:t>
      </w:r>
      <w:r w:rsidR="00896356" w:rsidRPr="00F15C89">
        <w:rPr>
          <w:rFonts w:ascii="Arial" w:hAnsi="Arial" w:cs="Arial"/>
        </w:rPr>
        <w:t> </w:t>
      </w:r>
      <w:r w:rsidR="00F13BB9" w:rsidRPr="00F15C89">
        <w:rPr>
          <w:rFonts w:ascii="Arial" w:hAnsi="Arial" w:cs="Arial"/>
        </w:rPr>
        <w:t>dohody s různými zaměstnavateli s cílem používat dohodu tam, kde by u pracovního poměru byly povinné příplatky za práci. Důsledkem jsou často přinejmenším nedůstojné pracovní podmínky úklidových pracovníků, kteří pracují bez adekvátních pracovněprávních smluv a stabilních výhod práce na pracovní smlouvu. V případě zaměstnání pracovníka bez platné pracovní smlouvy se navíc zaměstnavatel i</w:t>
      </w:r>
      <w:r w:rsidR="00896356" w:rsidRPr="00F15C89">
        <w:rPr>
          <w:rFonts w:ascii="Arial" w:hAnsi="Arial" w:cs="Arial"/>
        </w:rPr>
        <w:t> </w:t>
      </w:r>
      <w:r w:rsidR="00F13BB9" w:rsidRPr="00F15C89">
        <w:rPr>
          <w:rFonts w:ascii="Arial" w:hAnsi="Arial" w:cs="Arial"/>
        </w:rPr>
        <w:t xml:space="preserve">zaměstnanec dopouští přestupku podle zákona č. 435/2004 Sb., v platném znění, za který hrozí zaměstnavateli pokuta v rozmezí 50 000 </w:t>
      </w:r>
      <w:r w:rsidR="007C3EAD" w:rsidRPr="00F15C89">
        <w:rPr>
          <w:rFonts w:ascii="Arial" w:hAnsi="Arial" w:cs="Arial"/>
        </w:rPr>
        <w:t xml:space="preserve">Kč </w:t>
      </w:r>
      <w:r w:rsidR="00F13BB9" w:rsidRPr="00F15C89">
        <w:rPr>
          <w:rFonts w:ascii="Arial" w:hAnsi="Arial" w:cs="Arial"/>
        </w:rPr>
        <w:t>až 10 mil. Kč.</w:t>
      </w:r>
      <w:r w:rsidR="00605D72" w:rsidRPr="00F15C89">
        <w:rPr>
          <w:rFonts w:ascii="Arial" w:hAnsi="Arial" w:cs="Arial"/>
        </w:rPr>
        <w:t xml:space="preserve"> </w:t>
      </w:r>
      <w:r w:rsidR="00E139AD" w:rsidRPr="00F15C89">
        <w:rPr>
          <w:rFonts w:ascii="Arial" w:hAnsi="Arial" w:cs="Arial"/>
        </w:rPr>
        <w:t>I přesto se tyto praktiky dějí</w:t>
      </w:r>
      <w:r w:rsidR="00753E94" w:rsidRPr="00F15C89">
        <w:rPr>
          <w:rFonts w:ascii="Arial" w:hAnsi="Arial" w:cs="Arial"/>
        </w:rPr>
        <w:t xml:space="preserve"> a</w:t>
      </w:r>
      <w:r w:rsidR="00E139AD" w:rsidRPr="00F15C89">
        <w:rPr>
          <w:rFonts w:ascii="Arial" w:hAnsi="Arial" w:cs="Arial"/>
        </w:rPr>
        <w:t xml:space="preserve"> j</w:t>
      </w:r>
      <w:r w:rsidR="00CD5DB5" w:rsidRPr="00F15C89">
        <w:rPr>
          <w:rFonts w:ascii="Arial" w:hAnsi="Arial" w:cs="Arial"/>
        </w:rPr>
        <w:t>e</w:t>
      </w:r>
      <w:r w:rsidR="00EB26C8" w:rsidRPr="00F15C89">
        <w:rPr>
          <w:rFonts w:ascii="Arial" w:hAnsi="Arial" w:cs="Arial"/>
        </w:rPr>
        <w:t xml:space="preserve"> nepřijatelné</w:t>
      </w:r>
      <w:r w:rsidR="00605D72" w:rsidRPr="00F15C89">
        <w:rPr>
          <w:rFonts w:ascii="Arial" w:hAnsi="Arial" w:cs="Arial"/>
        </w:rPr>
        <w:t xml:space="preserve">, aby zadavatel </w:t>
      </w:r>
      <w:r w:rsidR="002F54E0" w:rsidRPr="00F15C89">
        <w:rPr>
          <w:rFonts w:ascii="Arial" w:hAnsi="Arial" w:cs="Arial"/>
        </w:rPr>
        <w:t xml:space="preserve">ve vztahu k </w:t>
      </w:r>
      <w:r w:rsidR="00605D72" w:rsidRPr="00F15C89">
        <w:rPr>
          <w:rFonts w:ascii="Arial" w:hAnsi="Arial" w:cs="Arial"/>
        </w:rPr>
        <w:t>plnění za veřejné finance</w:t>
      </w:r>
      <w:r w:rsidR="00EB26C8" w:rsidRPr="00F15C89">
        <w:rPr>
          <w:rFonts w:ascii="Arial" w:hAnsi="Arial" w:cs="Arial"/>
        </w:rPr>
        <w:t xml:space="preserve"> tacitně </w:t>
      </w:r>
      <w:r w:rsidR="003403FC" w:rsidRPr="00F15C89">
        <w:rPr>
          <w:rFonts w:ascii="Arial" w:hAnsi="Arial" w:cs="Arial"/>
        </w:rPr>
        <w:t xml:space="preserve">toleroval obcházení či nedodržování pracovněprávních předpisů. </w:t>
      </w:r>
    </w:p>
    <w:p w14:paraId="505BC5F4" w14:textId="77777777" w:rsidR="005F1879" w:rsidRPr="00F15C89" w:rsidRDefault="005F1879" w:rsidP="005F1879">
      <w:pPr>
        <w:spacing w:after="0" w:line="240" w:lineRule="auto"/>
        <w:jc w:val="both"/>
        <w:rPr>
          <w:rFonts w:ascii="Arial" w:hAnsi="Arial" w:cs="Arial"/>
        </w:rPr>
      </w:pPr>
    </w:p>
    <w:p w14:paraId="0245F817" w14:textId="4DDA17A1" w:rsidR="00F13BB9" w:rsidRPr="00F15C89" w:rsidRDefault="00F13BB9" w:rsidP="008138CC">
      <w:pPr>
        <w:spacing w:after="0" w:line="240" w:lineRule="auto"/>
        <w:ind w:firstLine="426"/>
        <w:jc w:val="both"/>
        <w:rPr>
          <w:rFonts w:ascii="Arial" w:hAnsi="Arial" w:cs="Arial"/>
        </w:rPr>
      </w:pPr>
      <w:r w:rsidRPr="00F15C89">
        <w:rPr>
          <w:rFonts w:ascii="Arial" w:hAnsi="Arial" w:cs="Arial"/>
        </w:rPr>
        <w:t xml:space="preserve">Apel </w:t>
      </w:r>
      <w:r w:rsidR="00470AFA" w:rsidRPr="00F15C89">
        <w:rPr>
          <w:rFonts w:ascii="Arial" w:hAnsi="Arial" w:cs="Arial"/>
        </w:rPr>
        <w:t xml:space="preserve">zadavatele </w:t>
      </w:r>
      <w:r w:rsidRPr="00F15C89">
        <w:rPr>
          <w:rFonts w:ascii="Arial" w:hAnsi="Arial" w:cs="Arial"/>
        </w:rPr>
        <w:t xml:space="preserve">na dodržování existujících právních předpisů je </w:t>
      </w:r>
      <w:r w:rsidR="00580806" w:rsidRPr="00F15C89">
        <w:rPr>
          <w:rFonts w:ascii="Arial" w:hAnsi="Arial" w:cs="Arial"/>
        </w:rPr>
        <w:t xml:space="preserve">ve standardu </w:t>
      </w:r>
      <w:r w:rsidRPr="00F15C89">
        <w:rPr>
          <w:rFonts w:ascii="Arial" w:hAnsi="Arial" w:cs="Arial"/>
        </w:rPr>
        <w:t xml:space="preserve">podpořen povinností předkládat dokumenty, které zadavateli jednak poskytují přehled o osobách pohybujících se v jeho prostorách a jednak </w:t>
      </w:r>
      <w:r w:rsidR="00580806" w:rsidRPr="00F15C89">
        <w:rPr>
          <w:rFonts w:ascii="Arial" w:hAnsi="Arial" w:cs="Arial"/>
        </w:rPr>
        <w:t xml:space="preserve">z nich </w:t>
      </w:r>
      <w:r w:rsidR="008F4D36" w:rsidRPr="00F15C89">
        <w:rPr>
          <w:rFonts w:ascii="Arial" w:hAnsi="Arial" w:cs="Arial"/>
        </w:rPr>
        <w:t>lze</w:t>
      </w:r>
      <w:r w:rsidR="00580806" w:rsidRPr="00F15C89">
        <w:rPr>
          <w:rFonts w:ascii="Arial" w:hAnsi="Arial" w:cs="Arial"/>
        </w:rPr>
        <w:t xml:space="preserve"> </w:t>
      </w:r>
      <w:r w:rsidR="00ED4B1C" w:rsidRPr="00F15C89">
        <w:rPr>
          <w:rFonts w:ascii="Arial" w:hAnsi="Arial" w:cs="Arial"/>
        </w:rPr>
        <w:t>dospět k závěru o</w:t>
      </w:r>
      <w:r w:rsidR="00896356" w:rsidRPr="00F15C89">
        <w:rPr>
          <w:rFonts w:ascii="Arial" w:hAnsi="Arial" w:cs="Arial"/>
        </w:rPr>
        <w:t> </w:t>
      </w:r>
      <w:r w:rsidR="00ED4B1C" w:rsidRPr="00F15C89">
        <w:rPr>
          <w:rFonts w:ascii="Arial" w:hAnsi="Arial" w:cs="Arial"/>
        </w:rPr>
        <w:t>případném</w:t>
      </w:r>
      <w:r w:rsidRPr="00F15C89">
        <w:rPr>
          <w:rFonts w:ascii="Arial" w:hAnsi="Arial" w:cs="Arial"/>
        </w:rPr>
        <w:t xml:space="preserve"> porušování právních předpisů. Podklady </w:t>
      </w:r>
      <w:r w:rsidR="004F735E" w:rsidRPr="00F15C89">
        <w:rPr>
          <w:rFonts w:ascii="Arial" w:hAnsi="Arial" w:cs="Arial"/>
        </w:rPr>
        <w:t xml:space="preserve">může zadavatel </w:t>
      </w:r>
      <w:r w:rsidRPr="00F15C89">
        <w:rPr>
          <w:rFonts w:ascii="Arial" w:hAnsi="Arial" w:cs="Arial"/>
        </w:rPr>
        <w:t xml:space="preserve">předat </w:t>
      </w:r>
      <w:r w:rsidR="004F735E" w:rsidRPr="00F15C89">
        <w:rPr>
          <w:rFonts w:ascii="Arial" w:hAnsi="Arial" w:cs="Arial"/>
        </w:rPr>
        <w:t>i</w:t>
      </w:r>
      <w:r w:rsidR="00896356" w:rsidRPr="00F15C89">
        <w:rPr>
          <w:rFonts w:ascii="Arial" w:hAnsi="Arial" w:cs="Arial"/>
        </w:rPr>
        <w:t> </w:t>
      </w:r>
      <w:r w:rsidRPr="00F15C89">
        <w:rPr>
          <w:rFonts w:ascii="Arial" w:hAnsi="Arial" w:cs="Arial"/>
        </w:rPr>
        <w:t>S</w:t>
      </w:r>
      <w:r w:rsidR="005F21B2" w:rsidRPr="00F15C89">
        <w:rPr>
          <w:rFonts w:ascii="Arial" w:hAnsi="Arial" w:cs="Arial"/>
        </w:rPr>
        <w:t>tátnímu úřadu inspekce práce</w:t>
      </w:r>
      <w:r w:rsidRPr="00F15C89">
        <w:rPr>
          <w:rFonts w:ascii="Arial" w:hAnsi="Arial" w:cs="Arial"/>
        </w:rPr>
        <w:t xml:space="preserve">, který je </w:t>
      </w:r>
      <w:r w:rsidR="00D47328" w:rsidRPr="00F15C89">
        <w:rPr>
          <w:rFonts w:ascii="Arial" w:hAnsi="Arial" w:cs="Arial"/>
        </w:rPr>
        <w:t>schop</w:t>
      </w:r>
      <w:r w:rsidR="00E8088F" w:rsidRPr="00F15C89">
        <w:rPr>
          <w:rFonts w:ascii="Arial" w:hAnsi="Arial" w:cs="Arial"/>
        </w:rPr>
        <w:t>e</w:t>
      </w:r>
      <w:r w:rsidR="00D47328" w:rsidRPr="00F15C89">
        <w:rPr>
          <w:rFonts w:ascii="Arial" w:hAnsi="Arial" w:cs="Arial"/>
        </w:rPr>
        <w:t>n</w:t>
      </w:r>
      <w:r w:rsidRPr="00F15C89">
        <w:rPr>
          <w:rFonts w:ascii="Arial" w:hAnsi="Arial" w:cs="Arial"/>
        </w:rPr>
        <w:t xml:space="preserve"> kvalifikovaně posoudit, zda došlo k porušení právních předpisů</w:t>
      </w:r>
      <w:r w:rsidR="00D47328" w:rsidRPr="00F15C89">
        <w:rPr>
          <w:rFonts w:ascii="Arial" w:hAnsi="Arial" w:cs="Arial"/>
        </w:rPr>
        <w:t xml:space="preserve"> a </w:t>
      </w:r>
      <w:r w:rsidR="00065A17" w:rsidRPr="00F15C89">
        <w:rPr>
          <w:rFonts w:ascii="Arial" w:hAnsi="Arial" w:cs="Arial"/>
        </w:rPr>
        <w:t>přijmout opatření k nápravě dané právními předpisy</w:t>
      </w:r>
      <w:r w:rsidRPr="00F15C89">
        <w:rPr>
          <w:rFonts w:ascii="Arial" w:hAnsi="Arial" w:cs="Arial"/>
        </w:rPr>
        <w:t xml:space="preserve">. Vypracování podkladů dodavatelem </w:t>
      </w:r>
      <w:r w:rsidR="00202DAE" w:rsidRPr="00F15C89">
        <w:rPr>
          <w:rFonts w:ascii="Arial" w:hAnsi="Arial" w:cs="Arial"/>
        </w:rPr>
        <w:t xml:space="preserve">může </w:t>
      </w:r>
      <w:r w:rsidR="00065A17" w:rsidRPr="00F15C89">
        <w:rPr>
          <w:rFonts w:ascii="Arial" w:hAnsi="Arial" w:cs="Arial"/>
        </w:rPr>
        <w:t xml:space="preserve">na jeho přístup k pracovním podmínkám úklidových pracovníků </w:t>
      </w:r>
      <w:r w:rsidRPr="00F15C89">
        <w:rPr>
          <w:rFonts w:ascii="Arial" w:hAnsi="Arial" w:cs="Arial"/>
        </w:rPr>
        <w:t xml:space="preserve">působit i preventivně. </w:t>
      </w:r>
    </w:p>
    <w:p w14:paraId="0612845E" w14:textId="77777777" w:rsidR="005F1879" w:rsidRPr="00F15C89" w:rsidRDefault="005F1879" w:rsidP="005F1879">
      <w:pPr>
        <w:spacing w:after="0" w:line="240" w:lineRule="auto"/>
        <w:ind w:firstLine="284"/>
        <w:jc w:val="both"/>
        <w:rPr>
          <w:rFonts w:ascii="Arial" w:hAnsi="Arial" w:cs="Arial"/>
        </w:rPr>
      </w:pPr>
    </w:p>
    <w:p w14:paraId="55E84703" w14:textId="013EDE26" w:rsidR="005F1879" w:rsidRPr="00F15C89" w:rsidRDefault="00A17442" w:rsidP="005F1879">
      <w:pPr>
        <w:pStyle w:val="Odstavecseseznamem"/>
        <w:numPr>
          <w:ilvl w:val="0"/>
          <w:numId w:val="40"/>
        </w:numPr>
        <w:spacing w:after="0" w:line="240" w:lineRule="auto"/>
        <w:ind w:left="284" w:hanging="284"/>
        <w:jc w:val="both"/>
        <w:rPr>
          <w:rFonts w:ascii="Arial" w:hAnsi="Arial" w:cs="Arial"/>
        </w:rPr>
      </w:pPr>
      <w:r w:rsidRPr="00F15C89">
        <w:rPr>
          <w:rFonts w:ascii="Arial" w:hAnsi="Arial" w:cs="Arial"/>
        </w:rPr>
        <w:t>Kritérium hodnocení „</w:t>
      </w:r>
      <w:r w:rsidR="00E55D05">
        <w:rPr>
          <w:rFonts w:ascii="Arial" w:hAnsi="Arial" w:cs="Arial"/>
        </w:rPr>
        <w:t xml:space="preserve">garantovaná </w:t>
      </w:r>
      <w:r w:rsidRPr="00F15C89">
        <w:rPr>
          <w:rFonts w:ascii="Arial" w:hAnsi="Arial" w:cs="Arial"/>
        </w:rPr>
        <w:t>výše mzdy úklidových pracovníků“</w:t>
      </w:r>
    </w:p>
    <w:p w14:paraId="42AB1D5C" w14:textId="6F3698AC" w:rsidR="00F13BB9" w:rsidRPr="00F15C89" w:rsidRDefault="00F13BB9" w:rsidP="008138CC">
      <w:pPr>
        <w:widowControl w:val="0"/>
        <w:spacing w:after="0" w:line="240" w:lineRule="auto"/>
        <w:ind w:firstLine="426"/>
        <w:jc w:val="both"/>
        <w:rPr>
          <w:rFonts w:ascii="Arial" w:hAnsi="Arial" w:cs="Arial"/>
        </w:rPr>
      </w:pPr>
      <w:r w:rsidRPr="00F15C89">
        <w:rPr>
          <w:rFonts w:ascii="Arial" w:hAnsi="Arial" w:cs="Arial"/>
        </w:rPr>
        <w:t xml:space="preserve">V oblasti úklidových služeb je velká míra fluktuace, což je pro zadavatele nežádoucí jednak z hlediska kvality služeb (úklidový pracovník znající prostory a specifika zadavatele je zpravidla schopen kvalitnějšího pracovního výkonu) a jednak z hlediska bezpečnosti </w:t>
      </w:r>
      <w:r w:rsidRPr="00F15C89">
        <w:rPr>
          <w:rFonts w:ascii="Arial" w:hAnsi="Arial" w:cs="Arial"/>
          <w:color w:val="000000" w:themeColor="text1"/>
        </w:rPr>
        <w:t xml:space="preserve">(úklidoví pracovníci jsou důvěrně seznámeni s prostory). </w:t>
      </w:r>
      <w:r w:rsidR="00F17916" w:rsidRPr="00F15C89">
        <w:rPr>
          <w:rFonts w:ascii="Arial" w:hAnsi="Arial" w:cs="Arial"/>
          <w:color w:val="000000" w:themeColor="text1"/>
          <w:shd w:val="clear" w:color="auto" w:fill="FFFFFF"/>
        </w:rPr>
        <w:t xml:space="preserve">Je notorietou, že v zaměstnáních s minimální mzdou, je právě navýšení mzdy jedním z klíčových motivačních faktorů pracovníků. Výše mzdy, garantovaná úklidovým pracovníkům, tak může mít vliv jak na stabilitu týmu, tak </w:t>
      </w:r>
      <w:r w:rsidR="00253421" w:rsidRPr="00F15C89">
        <w:rPr>
          <w:rFonts w:ascii="Arial" w:hAnsi="Arial" w:cs="Arial"/>
          <w:color w:val="000000" w:themeColor="text1"/>
          <w:shd w:val="clear" w:color="auto" w:fill="FFFFFF"/>
        </w:rPr>
        <w:t>na</w:t>
      </w:r>
      <w:r w:rsidR="00253421">
        <w:rPr>
          <w:rFonts w:ascii="Arial" w:hAnsi="Arial" w:cs="Arial"/>
          <w:color w:val="000000" w:themeColor="text1"/>
          <w:shd w:val="clear" w:color="auto" w:fill="FFFFFF"/>
        </w:rPr>
        <w:t> </w:t>
      </w:r>
      <w:r w:rsidR="00F17916" w:rsidRPr="00F15C89">
        <w:rPr>
          <w:rFonts w:ascii="Arial" w:hAnsi="Arial" w:cs="Arial"/>
          <w:color w:val="000000" w:themeColor="text1"/>
          <w:shd w:val="clear" w:color="auto" w:fill="FFFFFF"/>
        </w:rPr>
        <w:t xml:space="preserve">kvalitu jeho výkonů. </w:t>
      </w:r>
      <w:r w:rsidR="000C1C5D" w:rsidRPr="00F15C89">
        <w:rPr>
          <w:rFonts w:ascii="Arial" w:hAnsi="Arial" w:cs="Arial"/>
        </w:rPr>
        <w:t xml:space="preserve">Jedná se o minimální hodinovou garantovanou mzdu, tzn. že úklidovému pracovníkovi lze poskytnout mzdu vyšší, žádnému úklidovému pracovníkovi však nesmí být poskytována mzda nižší (než garantovaná v rámci tohoto kritéria hodnocení). Je </w:t>
      </w:r>
      <w:r w:rsidR="005F07D7">
        <w:rPr>
          <w:rFonts w:ascii="Arial" w:hAnsi="Arial" w:cs="Arial"/>
        </w:rPr>
        <w:br/>
      </w:r>
      <w:r w:rsidR="000C1C5D" w:rsidRPr="00F15C89">
        <w:rPr>
          <w:rFonts w:ascii="Arial" w:hAnsi="Arial" w:cs="Arial"/>
        </w:rPr>
        <w:t xml:space="preserve">na dodavateli, jakou výši mzdy, které pozici přiřadí (při dodržení právními předpisy daného minima), nicméně předmětem hodnocení bude ta, kterou je dodavatel (poddodavatel) jako minimální připraven garantovat všem </w:t>
      </w:r>
      <w:r w:rsidR="00995FB8" w:rsidRPr="00F15C89">
        <w:rPr>
          <w:rFonts w:ascii="Arial" w:hAnsi="Arial" w:cs="Arial"/>
        </w:rPr>
        <w:t>úklidovým pracovníkům</w:t>
      </w:r>
      <w:r w:rsidR="000C1C5D" w:rsidRPr="00F15C89">
        <w:rPr>
          <w:rFonts w:ascii="Arial" w:hAnsi="Arial" w:cs="Arial"/>
        </w:rPr>
        <w:t xml:space="preserve"> bez ohledu na jimi konkrétně vykonávanou pozici.</w:t>
      </w:r>
      <w:r w:rsidR="00995FB8" w:rsidRPr="00F15C89">
        <w:rPr>
          <w:rFonts w:ascii="Arial" w:hAnsi="Arial" w:cs="Arial"/>
        </w:rPr>
        <w:t xml:space="preserve"> </w:t>
      </w:r>
      <w:r w:rsidRPr="00F15C89">
        <w:rPr>
          <w:rFonts w:ascii="Arial" w:hAnsi="Arial" w:cs="Arial"/>
          <w:color w:val="000000" w:themeColor="text1"/>
        </w:rPr>
        <w:t>Zadavatel můž</w:t>
      </w:r>
      <w:r w:rsidRPr="00F15C89">
        <w:rPr>
          <w:rFonts w:ascii="Arial" w:hAnsi="Arial" w:cs="Arial"/>
        </w:rPr>
        <w:t>e zvolit různé způsoby, jak výši odměny úklidových pracovníků hodnotit, např. dodavatelé mohou nabízet hodinovou odměnu pro úklidové pracovníky v určeném finančním rozsahu (spodní limit – nad rámec minima dle právní úpravy, horní limit – v souladu s principy 3E).</w:t>
      </w:r>
    </w:p>
    <w:p w14:paraId="384650AE" w14:textId="77777777" w:rsidR="000C1C5D" w:rsidRPr="00F15C89" w:rsidRDefault="000C1C5D" w:rsidP="005F1879">
      <w:pPr>
        <w:spacing w:after="0" w:line="240" w:lineRule="auto"/>
        <w:ind w:firstLine="284"/>
        <w:jc w:val="both"/>
        <w:rPr>
          <w:rFonts w:ascii="Arial" w:hAnsi="Arial" w:cs="Arial"/>
        </w:rPr>
      </w:pPr>
    </w:p>
    <w:p w14:paraId="6E1792B4" w14:textId="46DC0C8A" w:rsidR="00BD0778" w:rsidRPr="00F15C89" w:rsidRDefault="00BD0778" w:rsidP="005F1879">
      <w:pPr>
        <w:pStyle w:val="Odstavecseseznamem"/>
        <w:numPr>
          <w:ilvl w:val="0"/>
          <w:numId w:val="40"/>
        </w:numPr>
        <w:spacing w:after="0" w:line="240" w:lineRule="auto"/>
        <w:ind w:left="284" w:hanging="284"/>
        <w:jc w:val="both"/>
        <w:rPr>
          <w:rFonts w:ascii="Arial" w:hAnsi="Arial" w:cs="Arial"/>
        </w:rPr>
      </w:pPr>
      <w:r w:rsidRPr="00F15C89">
        <w:rPr>
          <w:rFonts w:ascii="Arial" w:hAnsi="Arial" w:cs="Arial"/>
        </w:rPr>
        <w:t>Mzdová doložka ve smyslu vyhrazené změny závazku (§ 100 odst. 1 ZZVZ)</w:t>
      </w:r>
    </w:p>
    <w:p w14:paraId="45D34571" w14:textId="31B5D7D6" w:rsidR="00F13BB9" w:rsidRPr="00F15C89" w:rsidRDefault="00F13BB9" w:rsidP="008138CC">
      <w:pPr>
        <w:spacing w:after="0" w:line="240" w:lineRule="auto"/>
        <w:ind w:firstLine="426"/>
        <w:jc w:val="both"/>
        <w:rPr>
          <w:rFonts w:ascii="Arial" w:hAnsi="Arial" w:cs="Arial"/>
        </w:rPr>
      </w:pPr>
      <w:r w:rsidRPr="00F15C89">
        <w:rPr>
          <w:rFonts w:ascii="Arial" w:hAnsi="Arial" w:cs="Arial"/>
        </w:rPr>
        <w:t xml:space="preserve">Mzdová doložka zajistí dodavatelům nárok (za podmínek formulovaných ve smlouvě) </w:t>
      </w:r>
      <w:r w:rsidR="00B0035D">
        <w:rPr>
          <w:rFonts w:ascii="Arial" w:hAnsi="Arial" w:cs="Arial"/>
        </w:rPr>
        <w:br/>
      </w:r>
      <w:r w:rsidRPr="00F15C89">
        <w:rPr>
          <w:rFonts w:ascii="Arial" w:hAnsi="Arial" w:cs="Arial"/>
        </w:rPr>
        <w:t xml:space="preserve">na zvýšení odměny za plnění za předpokladu, že dojde ke zvýšení mzdových nákladů </w:t>
      </w:r>
      <w:r w:rsidR="006460FF">
        <w:rPr>
          <w:rFonts w:ascii="Arial" w:hAnsi="Arial" w:cs="Arial"/>
        </w:rPr>
        <w:br/>
      </w:r>
      <w:r w:rsidRPr="00F15C89">
        <w:rPr>
          <w:rFonts w:ascii="Arial" w:hAnsi="Arial" w:cs="Arial"/>
        </w:rPr>
        <w:t xml:space="preserve">na základě právní úpravy. Míra navýšení mzdových nákladů je pro dodavatele nepředvídatelná a bez mzdové doložky jsou nuceni tyto nepředvídatelné náklady započítávat do nabídkové </w:t>
      </w:r>
      <w:r w:rsidRPr="00F15C89">
        <w:rPr>
          <w:rFonts w:ascii="Arial" w:hAnsi="Arial" w:cs="Arial"/>
        </w:rPr>
        <w:lastRenderedPageBreak/>
        <w:t xml:space="preserve">ceny, která je předmětem soutěže. </w:t>
      </w:r>
      <w:r w:rsidR="00B709F3" w:rsidRPr="00F15C89">
        <w:rPr>
          <w:rFonts w:ascii="Arial" w:hAnsi="Arial" w:cs="Arial"/>
        </w:rPr>
        <w:t>Prakticky jde o to, že p</w:t>
      </w:r>
      <w:r w:rsidRPr="00F15C89">
        <w:rPr>
          <w:rFonts w:ascii="Arial" w:hAnsi="Arial" w:cs="Arial"/>
        </w:rPr>
        <w:t>ředpokládanou hodnotu mzdové doložky</w:t>
      </w:r>
      <w:r w:rsidR="006F7235" w:rsidRPr="00F15C89">
        <w:rPr>
          <w:rFonts w:ascii="Arial" w:hAnsi="Arial" w:cs="Arial"/>
        </w:rPr>
        <w:t xml:space="preserve"> (</w:t>
      </w:r>
      <w:r w:rsidRPr="00F15C89">
        <w:rPr>
          <w:rFonts w:ascii="Arial" w:hAnsi="Arial" w:cs="Arial"/>
        </w:rPr>
        <w:t>vyhrazené změny ceny</w:t>
      </w:r>
      <w:r w:rsidR="006F7235" w:rsidRPr="00F15C89">
        <w:rPr>
          <w:rFonts w:ascii="Arial" w:hAnsi="Arial" w:cs="Arial"/>
        </w:rPr>
        <w:t>)</w:t>
      </w:r>
      <w:r w:rsidRPr="00F15C89">
        <w:rPr>
          <w:rFonts w:ascii="Arial" w:hAnsi="Arial" w:cs="Arial"/>
        </w:rPr>
        <w:t xml:space="preserve"> </w:t>
      </w:r>
      <w:r w:rsidR="00B709F3" w:rsidRPr="00F15C89">
        <w:rPr>
          <w:rFonts w:ascii="Arial" w:hAnsi="Arial" w:cs="Arial"/>
        </w:rPr>
        <w:t xml:space="preserve">zadavatel </w:t>
      </w:r>
      <w:r w:rsidRPr="00F15C89">
        <w:rPr>
          <w:rFonts w:ascii="Arial" w:hAnsi="Arial" w:cs="Arial"/>
        </w:rPr>
        <w:t>připoč</w:t>
      </w:r>
      <w:r w:rsidR="00B709F3" w:rsidRPr="00F15C89">
        <w:rPr>
          <w:rFonts w:ascii="Arial" w:hAnsi="Arial" w:cs="Arial"/>
        </w:rPr>
        <w:t>te</w:t>
      </w:r>
      <w:r w:rsidRPr="00F15C89">
        <w:rPr>
          <w:rFonts w:ascii="Arial" w:hAnsi="Arial" w:cs="Arial"/>
        </w:rPr>
        <w:t xml:space="preserve"> k předpokládané hodnotě veřejné zakázky</w:t>
      </w:r>
      <w:r w:rsidR="00E66983" w:rsidRPr="00F15C89">
        <w:rPr>
          <w:rFonts w:ascii="Arial" w:hAnsi="Arial" w:cs="Arial"/>
        </w:rPr>
        <w:t xml:space="preserve"> a ve s</w:t>
      </w:r>
      <w:r w:rsidRPr="00F15C89">
        <w:rPr>
          <w:rFonts w:ascii="Arial" w:hAnsi="Arial" w:cs="Arial"/>
        </w:rPr>
        <w:t>mlouv</w:t>
      </w:r>
      <w:r w:rsidR="00E66983" w:rsidRPr="00F15C89">
        <w:rPr>
          <w:rFonts w:ascii="Arial" w:hAnsi="Arial" w:cs="Arial"/>
        </w:rPr>
        <w:t>ě</w:t>
      </w:r>
      <w:r w:rsidRPr="00F15C89">
        <w:rPr>
          <w:rFonts w:ascii="Arial" w:hAnsi="Arial" w:cs="Arial"/>
        </w:rPr>
        <w:t xml:space="preserve"> na plnění </w:t>
      </w:r>
      <w:r w:rsidR="00E66983" w:rsidRPr="00F15C89">
        <w:rPr>
          <w:rFonts w:ascii="Arial" w:hAnsi="Arial" w:cs="Arial"/>
        </w:rPr>
        <w:t>upraví</w:t>
      </w:r>
      <w:r w:rsidRPr="00F15C89">
        <w:rPr>
          <w:rFonts w:ascii="Arial" w:hAnsi="Arial" w:cs="Arial"/>
        </w:rPr>
        <w:t xml:space="preserve"> určující podmínky, za nichž lze zvýšit odměnu dodavatele ve vazbě na zvýšení minimální mzdy dle nařízení vlády (příp. jiné aktuálně platné právní úpravy dopadající na oblast úklidových služeb a příslušnou skupinu/kategorii prací)</w:t>
      </w:r>
      <w:r w:rsidR="00BF34C0" w:rsidRPr="00F15C89">
        <w:rPr>
          <w:rFonts w:ascii="Arial" w:hAnsi="Arial" w:cs="Arial"/>
        </w:rPr>
        <w:t xml:space="preserve">. </w:t>
      </w:r>
      <w:r w:rsidR="00EA65E9" w:rsidRPr="00F15C89">
        <w:rPr>
          <w:rFonts w:ascii="Arial" w:hAnsi="Arial" w:cs="Arial"/>
        </w:rPr>
        <w:t xml:space="preserve">Přitom též může upravit, </w:t>
      </w:r>
      <w:r w:rsidRPr="00F15C89">
        <w:rPr>
          <w:rFonts w:ascii="Arial" w:hAnsi="Arial" w:cs="Arial"/>
        </w:rPr>
        <w:t>od</w:t>
      </w:r>
      <w:r w:rsidR="00BF34C0" w:rsidRPr="00F15C89">
        <w:rPr>
          <w:rFonts w:ascii="Arial" w:hAnsi="Arial" w:cs="Arial"/>
        </w:rPr>
        <w:t xml:space="preserve"> </w:t>
      </w:r>
      <w:r w:rsidRPr="00F15C89">
        <w:rPr>
          <w:rFonts w:ascii="Arial" w:hAnsi="Arial" w:cs="Arial"/>
        </w:rPr>
        <w:t>kdy lze zvýšení odměny provést.</w:t>
      </w:r>
    </w:p>
    <w:p w14:paraId="2B8D4804" w14:textId="77777777" w:rsidR="005F1879" w:rsidRPr="00F15C89" w:rsidRDefault="005F1879" w:rsidP="005F1879">
      <w:pPr>
        <w:spacing w:after="0" w:line="240" w:lineRule="auto"/>
        <w:ind w:firstLine="284"/>
        <w:jc w:val="both"/>
        <w:rPr>
          <w:rFonts w:ascii="Arial" w:hAnsi="Arial" w:cs="Arial"/>
        </w:rPr>
      </w:pPr>
    </w:p>
    <w:p w14:paraId="5A26E825" w14:textId="0D25AAC3" w:rsidR="00040E38" w:rsidRPr="00F15C89" w:rsidRDefault="00040E38" w:rsidP="008138CC">
      <w:pPr>
        <w:spacing w:after="0" w:line="240" w:lineRule="auto"/>
        <w:ind w:firstLine="426"/>
        <w:jc w:val="both"/>
        <w:rPr>
          <w:rFonts w:ascii="Arial" w:hAnsi="Arial" w:cs="Arial"/>
        </w:rPr>
      </w:pPr>
      <w:r w:rsidRPr="00F15C89">
        <w:rPr>
          <w:rFonts w:ascii="Arial" w:hAnsi="Arial" w:cs="Arial"/>
        </w:rPr>
        <w:t>N</w:t>
      </w:r>
      <w:r w:rsidRPr="00F15C89">
        <w:rPr>
          <w:rFonts w:ascii="Arial" w:hAnsi="Arial" w:cs="Arial"/>
          <w:color w:val="000000" w:themeColor="text1"/>
        </w:rPr>
        <w:t xml:space="preserve">astavení mzdové doložky je nezbytné promyslet s ohledem na to, jak konkrétně zadavatel nastaví kritérium hodnocení „garantovaná výše mzdy úklidového pracovníka a jak hodnocenou garanci promítne ve smlouvě. </w:t>
      </w:r>
      <w:r w:rsidRPr="00F15C89">
        <w:rPr>
          <w:rFonts w:ascii="Arial" w:hAnsi="Arial" w:cs="Arial"/>
        </w:rPr>
        <w:t xml:space="preserve">Mzdová doložka je důležitou součástí sociálně zaměřeného odpovědného veřejného zadávání, protože navýšení minimální mzdy by se jinak mohlo projevit zhoršeným ohodnocením </w:t>
      </w:r>
      <w:r w:rsidR="00FD2D92" w:rsidRPr="00F15C89">
        <w:rPr>
          <w:rFonts w:ascii="Arial" w:hAnsi="Arial" w:cs="Arial"/>
        </w:rPr>
        <w:t>úklidového pracovníka</w:t>
      </w:r>
      <w:r w:rsidRPr="00F15C89">
        <w:rPr>
          <w:rFonts w:ascii="Arial" w:hAnsi="Arial" w:cs="Arial"/>
        </w:rPr>
        <w:t xml:space="preserve">. </w:t>
      </w:r>
    </w:p>
    <w:p w14:paraId="37553033" w14:textId="77777777" w:rsidR="00040E38" w:rsidRPr="00F15C89" w:rsidRDefault="00040E38" w:rsidP="005F1879">
      <w:pPr>
        <w:spacing w:after="0" w:line="240" w:lineRule="auto"/>
        <w:ind w:firstLine="284"/>
        <w:jc w:val="both"/>
        <w:rPr>
          <w:rFonts w:ascii="Arial" w:hAnsi="Arial" w:cs="Arial"/>
        </w:rPr>
      </w:pPr>
    </w:p>
    <w:p w14:paraId="4464AC8A" w14:textId="3BDD959D" w:rsidR="00C41E04" w:rsidRPr="00F15C89" w:rsidRDefault="00C41E04" w:rsidP="005F1879">
      <w:pPr>
        <w:pStyle w:val="Odstavecseseznamem"/>
        <w:numPr>
          <w:ilvl w:val="0"/>
          <w:numId w:val="40"/>
        </w:numPr>
        <w:spacing w:after="0" w:line="240" w:lineRule="auto"/>
        <w:ind w:left="284" w:hanging="284"/>
        <w:jc w:val="both"/>
        <w:rPr>
          <w:rFonts w:ascii="Arial" w:hAnsi="Arial" w:cs="Arial"/>
        </w:rPr>
      </w:pPr>
      <w:r w:rsidRPr="00F15C89">
        <w:rPr>
          <w:rFonts w:ascii="Arial" w:hAnsi="Arial" w:cs="Arial"/>
        </w:rPr>
        <w:t xml:space="preserve">Vyhrazená </w:t>
      </w:r>
      <w:r w:rsidR="00F73717" w:rsidRPr="00F15C89">
        <w:rPr>
          <w:rFonts w:ascii="Arial" w:hAnsi="Arial" w:cs="Arial"/>
        </w:rPr>
        <w:t xml:space="preserve">změna závazku změnou dodavatele </w:t>
      </w:r>
      <w:r w:rsidRPr="00F15C89">
        <w:rPr>
          <w:rFonts w:ascii="Arial" w:hAnsi="Arial" w:cs="Arial"/>
        </w:rPr>
        <w:t>(§ 100 odst. 2 ZZVZ)</w:t>
      </w:r>
    </w:p>
    <w:p w14:paraId="551BE7D3" w14:textId="1924985A" w:rsidR="00F13BB9" w:rsidRPr="00F15C89" w:rsidRDefault="00280122" w:rsidP="008138CC">
      <w:pPr>
        <w:spacing w:after="0" w:line="240" w:lineRule="auto"/>
        <w:ind w:firstLine="426"/>
        <w:jc w:val="both"/>
        <w:rPr>
          <w:rFonts w:ascii="Arial" w:hAnsi="Arial" w:cs="Arial"/>
        </w:rPr>
      </w:pPr>
      <w:r w:rsidRPr="00F15C89">
        <w:rPr>
          <w:rFonts w:ascii="Arial" w:hAnsi="Arial" w:cs="Arial"/>
        </w:rPr>
        <w:t>Z</w:t>
      </w:r>
      <w:r w:rsidR="00A32AF8" w:rsidRPr="00F15C89">
        <w:rPr>
          <w:rFonts w:ascii="Arial" w:hAnsi="Arial" w:cs="Arial"/>
        </w:rPr>
        <w:t>měn</w:t>
      </w:r>
      <w:r w:rsidR="00ED11BD" w:rsidRPr="00F15C89">
        <w:rPr>
          <w:rFonts w:ascii="Arial" w:hAnsi="Arial" w:cs="Arial"/>
        </w:rPr>
        <w:t>u dodavatele na základě výhrady</w:t>
      </w:r>
      <w:r w:rsidR="00F13BB9" w:rsidRPr="00F15C89">
        <w:rPr>
          <w:rFonts w:ascii="Arial" w:hAnsi="Arial" w:cs="Arial"/>
        </w:rPr>
        <w:t xml:space="preserve"> zadavatele uzavřít smlouvu s jiným účastníkem zadávacího řízení, bude-li </w:t>
      </w:r>
      <w:r w:rsidR="00E8088F" w:rsidRPr="00F15C89">
        <w:rPr>
          <w:rFonts w:ascii="Arial" w:hAnsi="Arial" w:cs="Arial"/>
        </w:rPr>
        <w:t xml:space="preserve">předčasně </w:t>
      </w:r>
      <w:r w:rsidR="00F13BB9" w:rsidRPr="00F15C89">
        <w:rPr>
          <w:rFonts w:ascii="Arial" w:hAnsi="Arial" w:cs="Arial"/>
        </w:rPr>
        <w:t>ukončeno</w:t>
      </w:r>
      <w:r w:rsidR="00E8088F" w:rsidRPr="00F15C89">
        <w:rPr>
          <w:rFonts w:ascii="Arial" w:hAnsi="Arial" w:cs="Arial"/>
        </w:rPr>
        <w:t xml:space="preserve"> </w:t>
      </w:r>
      <w:r w:rsidR="00F13BB9" w:rsidRPr="00F15C89">
        <w:rPr>
          <w:rFonts w:ascii="Arial" w:hAnsi="Arial" w:cs="Arial"/>
        </w:rPr>
        <w:t xml:space="preserve">plnění na základě smlouvy uzavřené </w:t>
      </w:r>
      <w:r w:rsidR="00253421">
        <w:rPr>
          <w:rFonts w:ascii="Arial" w:hAnsi="Arial" w:cs="Arial"/>
        </w:rPr>
        <w:t> </w:t>
      </w:r>
      <w:r w:rsidR="00253421" w:rsidRPr="00F15C89">
        <w:rPr>
          <w:rFonts w:ascii="Arial" w:hAnsi="Arial" w:cs="Arial"/>
        </w:rPr>
        <w:t>s</w:t>
      </w:r>
      <w:r w:rsidR="00253421">
        <w:rPr>
          <w:rFonts w:ascii="Arial" w:hAnsi="Arial" w:cs="Arial"/>
        </w:rPr>
        <w:t> </w:t>
      </w:r>
      <w:r w:rsidR="00F13BB9" w:rsidRPr="00F15C89">
        <w:rPr>
          <w:rFonts w:ascii="Arial" w:hAnsi="Arial" w:cs="Arial"/>
        </w:rPr>
        <w:t>původně vybraným účastníkem zadávacího řízení</w:t>
      </w:r>
      <w:r w:rsidR="00E8088F" w:rsidRPr="00F15C89">
        <w:rPr>
          <w:rFonts w:ascii="Arial" w:hAnsi="Arial" w:cs="Arial"/>
        </w:rPr>
        <w:t xml:space="preserve"> v důsledku jejího podstatného porušení</w:t>
      </w:r>
      <w:r w:rsidRPr="00F15C89">
        <w:rPr>
          <w:rFonts w:ascii="Arial" w:hAnsi="Arial" w:cs="Arial"/>
        </w:rPr>
        <w:t xml:space="preserve">, je </w:t>
      </w:r>
      <w:r w:rsidR="00F13BB9" w:rsidRPr="00F15C89">
        <w:rPr>
          <w:rFonts w:ascii="Arial" w:hAnsi="Arial" w:cs="Arial"/>
        </w:rPr>
        <w:t xml:space="preserve">v oblasti úklidových služeb </w:t>
      </w:r>
      <w:r w:rsidR="00A32AF8" w:rsidRPr="00F15C89">
        <w:rPr>
          <w:rFonts w:ascii="Arial" w:hAnsi="Arial" w:cs="Arial"/>
        </w:rPr>
        <w:t>možné</w:t>
      </w:r>
      <w:r w:rsidR="00F13BB9" w:rsidRPr="00F15C89">
        <w:rPr>
          <w:rFonts w:ascii="Arial" w:hAnsi="Arial" w:cs="Arial"/>
        </w:rPr>
        <w:t xml:space="preserve"> </w:t>
      </w:r>
      <w:r w:rsidR="00E8088F" w:rsidRPr="00F15C89">
        <w:rPr>
          <w:rFonts w:ascii="Arial" w:hAnsi="Arial" w:cs="Arial"/>
        </w:rPr>
        <w:t>provést</w:t>
      </w:r>
      <w:r w:rsidR="00F13BB9" w:rsidRPr="00F15C89">
        <w:rPr>
          <w:rFonts w:ascii="Arial" w:hAnsi="Arial" w:cs="Arial"/>
        </w:rPr>
        <w:t>, aniž by vznikaly těžko překonatelné překážky. Zakotvení výhrady musí být učiněno v</w:t>
      </w:r>
      <w:r w:rsidR="00E8088F" w:rsidRPr="00F15C89">
        <w:rPr>
          <w:rFonts w:ascii="Arial" w:hAnsi="Arial" w:cs="Arial"/>
        </w:rPr>
        <w:t> </w:t>
      </w:r>
      <w:r w:rsidR="00F13BB9" w:rsidRPr="00F15C89">
        <w:rPr>
          <w:rFonts w:ascii="Arial" w:hAnsi="Arial" w:cs="Arial"/>
        </w:rPr>
        <w:t>souladu se ZZVZ</w:t>
      </w:r>
      <w:r w:rsidR="00ED11BD" w:rsidRPr="00F15C89">
        <w:rPr>
          <w:rFonts w:ascii="Arial" w:hAnsi="Arial" w:cs="Arial"/>
        </w:rPr>
        <w:t xml:space="preserve"> a je důležitým doplň</w:t>
      </w:r>
      <w:r w:rsidR="000C114B" w:rsidRPr="00F15C89">
        <w:rPr>
          <w:rFonts w:ascii="Arial" w:hAnsi="Arial" w:cs="Arial"/>
        </w:rPr>
        <w:t>ujícím aspektem standardů OVZ</w:t>
      </w:r>
      <w:r w:rsidR="000F1263" w:rsidRPr="00F15C89">
        <w:rPr>
          <w:rFonts w:ascii="Arial" w:hAnsi="Arial" w:cs="Arial"/>
        </w:rPr>
        <w:t xml:space="preserve"> pro případ, kdy dochází ze strany původně vybraného dodavatele k porušování smlouvy</w:t>
      </w:r>
      <w:r w:rsidR="00274298" w:rsidRPr="00F15C89">
        <w:rPr>
          <w:rFonts w:ascii="Arial" w:hAnsi="Arial" w:cs="Arial"/>
        </w:rPr>
        <w:t xml:space="preserve"> (a tedy</w:t>
      </w:r>
      <w:r w:rsidR="00E8088F" w:rsidRPr="00F15C89">
        <w:rPr>
          <w:rFonts w:ascii="Arial" w:hAnsi="Arial" w:cs="Arial"/>
        </w:rPr>
        <w:t xml:space="preserve"> případně</w:t>
      </w:r>
      <w:r w:rsidR="00274298" w:rsidRPr="00F15C89">
        <w:rPr>
          <w:rFonts w:ascii="Arial" w:hAnsi="Arial" w:cs="Arial"/>
        </w:rPr>
        <w:t xml:space="preserve"> i</w:t>
      </w:r>
      <w:r w:rsidR="00A73E2D" w:rsidRPr="00F15C89">
        <w:rPr>
          <w:rFonts w:ascii="Arial" w:hAnsi="Arial" w:cs="Arial"/>
        </w:rPr>
        <w:t> </w:t>
      </w:r>
      <w:r w:rsidR="00274298" w:rsidRPr="00F15C89">
        <w:rPr>
          <w:rFonts w:ascii="Arial" w:hAnsi="Arial" w:cs="Arial"/>
        </w:rPr>
        <w:t>těchto standardů).</w:t>
      </w:r>
      <w:r w:rsidR="00D151F0" w:rsidRPr="00F15C89">
        <w:rPr>
          <w:rFonts w:ascii="Arial" w:hAnsi="Arial" w:cs="Arial"/>
        </w:rPr>
        <w:t xml:space="preserve"> Standard však zadavatele nenutí tento institut v praxi využít, preventivně může působit už samotné </w:t>
      </w:r>
      <w:r w:rsidR="00AA6540" w:rsidRPr="00F15C89">
        <w:rPr>
          <w:rFonts w:ascii="Arial" w:hAnsi="Arial" w:cs="Arial"/>
        </w:rPr>
        <w:t xml:space="preserve">jeho </w:t>
      </w:r>
      <w:r w:rsidR="000B537F" w:rsidRPr="00F15C89">
        <w:rPr>
          <w:rFonts w:ascii="Arial" w:hAnsi="Arial" w:cs="Arial"/>
        </w:rPr>
        <w:t>převzetí do zadávací dokumentace</w:t>
      </w:r>
      <w:r w:rsidR="00466CB3" w:rsidRPr="00F15C89">
        <w:rPr>
          <w:rFonts w:ascii="Arial" w:hAnsi="Arial" w:cs="Arial"/>
        </w:rPr>
        <w:t>.</w:t>
      </w:r>
    </w:p>
    <w:p w14:paraId="0608C0BF" w14:textId="77777777" w:rsidR="005F1879" w:rsidRPr="00F15C89" w:rsidRDefault="005F1879" w:rsidP="005F1879">
      <w:pPr>
        <w:spacing w:after="0" w:line="240" w:lineRule="auto"/>
        <w:ind w:firstLine="284"/>
        <w:jc w:val="both"/>
        <w:rPr>
          <w:rFonts w:ascii="Arial" w:hAnsi="Arial" w:cs="Arial"/>
        </w:rPr>
      </w:pPr>
    </w:p>
    <w:p w14:paraId="1717781B" w14:textId="0AA310CC" w:rsidR="00C41E04" w:rsidRPr="00F15C89" w:rsidRDefault="00C41E04" w:rsidP="005F1879">
      <w:pPr>
        <w:pStyle w:val="Odstavecseseznamem"/>
        <w:numPr>
          <w:ilvl w:val="0"/>
          <w:numId w:val="40"/>
        </w:numPr>
        <w:spacing w:after="0" w:line="240" w:lineRule="auto"/>
        <w:ind w:left="284" w:hanging="284"/>
        <w:jc w:val="both"/>
        <w:rPr>
          <w:rFonts w:ascii="Arial" w:hAnsi="Arial" w:cs="Arial"/>
        </w:rPr>
      </w:pPr>
      <w:r w:rsidRPr="00F15C89">
        <w:rPr>
          <w:rFonts w:ascii="Arial" w:hAnsi="Arial" w:cs="Arial"/>
          <w:lang w:eastAsia="cs-CZ"/>
        </w:rPr>
        <w:t xml:space="preserve">Vybrané </w:t>
      </w:r>
      <w:r w:rsidR="003C1AE4" w:rsidRPr="00F15C89">
        <w:rPr>
          <w:rFonts w:ascii="Arial" w:hAnsi="Arial" w:cs="Arial"/>
          <w:lang w:eastAsia="cs-CZ"/>
        </w:rPr>
        <w:t>čisticí</w:t>
      </w:r>
      <w:r w:rsidRPr="00F15C89">
        <w:rPr>
          <w:rFonts w:ascii="Arial" w:hAnsi="Arial" w:cs="Arial"/>
          <w:lang w:eastAsia="cs-CZ"/>
        </w:rPr>
        <w:t xml:space="preserve"> prostředky pro běžný denní úklid s Ekoznačkou EU (Ecolabel)</w:t>
      </w:r>
    </w:p>
    <w:p w14:paraId="6FF2B715" w14:textId="4D23B7FF" w:rsidR="000A2EEE" w:rsidRPr="00F15C89" w:rsidRDefault="00F13BB9" w:rsidP="008138CC">
      <w:pPr>
        <w:spacing w:after="0" w:line="240" w:lineRule="auto"/>
        <w:ind w:firstLine="426"/>
        <w:jc w:val="both"/>
        <w:rPr>
          <w:rFonts w:ascii="Arial" w:hAnsi="Arial" w:cs="Arial"/>
        </w:rPr>
      </w:pPr>
      <w:r w:rsidRPr="00F15C89">
        <w:rPr>
          <w:rFonts w:ascii="Arial" w:hAnsi="Arial" w:cs="Arial"/>
        </w:rPr>
        <w:t>Co se týče environmentálních aspektů při zajištění úklidových služeb administrativních objektů, Kritéria pro zadávání zelených veřejných zakázek v EU doporučují používat čist</w:t>
      </w:r>
      <w:r w:rsidR="003C1AE4" w:rsidRPr="00F15C89">
        <w:rPr>
          <w:rFonts w:ascii="Arial" w:hAnsi="Arial" w:cs="Arial"/>
        </w:rPr>
        <w:t>i</w:t>
      </w:r>
      <w:r w:rsidRPr="00F15C89">
        <w:rPr>
          <w:rFonts w:ascii="Arial" w:hAnsi="Arial" w:cs="Arial"/>
        </w:rPr>
        <w:t>cí prostředky, které jsou efektivnější při nižších teplotách, nepoužívat čistící prostředky, které mohou obsahovat nebezpečné látky, fosfor a</w:t>
      </w:r>
      <w:r w:rsidR="00896356" w:rsidRPr="00F15C89">
        <w:rPr>
          <w:rFonts w:ascii="Arial" w:hAnsi="Arial" w:cs="Arial"/>
        </w:rPr>
        <w:t> </w:t>
      </w:r>
      <w:r w:rsidRPr="00F15C89">
        <w:rPr>
          <w:rFonts w:ascii="Arial" w:hAnsi="Arial" w:cs="Arial"/>
        </w:rPr>
        <w:t xml:space="preserve">omezit rozsah biocidů v těchto výrobcích. Dále </w:t>
      </w:r>
      <w:r w:rsidR="00DD52A0" w:rsidRPr="00F15C89">
        <w:rPr>
          <w:rFonts w:ascii="Arial" w:hAnsi="Arial" w:cs="Arial"/>
        </w:rPr>
        <w:t>jde o poskytnutí</w:t>
      </w:r>
      <w:r w:rsidRPr="00F15C89">
        <w:rPr>
          <w:rFonts w:ascii="Arial" w:hAnsi="Arial" w:cs="Arial"/>
        </w:rPr>
        <w:t xml:space="preserve"> informací o</w:t>
      </w:r>
      <w:r w:rsidR="009C0EB1" w:rsidRPr="00F15C89">
        <w:rPr>
          <w:rFonts w:ascii="Arial" w:hAnsi="Arial" w:cs="Arial"/>
        </w:rPr>
        <w:t> </w:t>
      </w:r>
      <w:r w:rsidRPr="00F15C89">
        <w:rPr>
          <w:rFonts w:ascii="Arial" w:hAnsi="Arial" w:cs="Arial"/>
        </w:rPr>
        <w:t xml:space="preserve">doporučeném dávkování, ředění, ale </w:t>
      </w:r>
      <w:r w:rsidR="00DD52A0" w:rsidRPr="00F15C89">
        <w:rPr>
          <w:rFonts w:ascii="Arial" w:hAnsi="Arial" w:cs="Arial"/>
        </w:rPr>
        <w:t>i</w:t>
      </w:r>
      <w:r w:rsidRPr="00F15C89">
        <w:rPr>
          <w:rFonts w:ascii="Arial" w:hAnsi="Arial" w:cs="Arial"/>
        </w:rPr>
        <w:t xml:space="preserve"> snížení množství obalového materiálu a</w:t>
      </w:r>
      <w:r w:rsidR="009C0EB1" w:rsidRPr="00F15C89">
        <w:rPr>
          <w:rFonts w:ascii="Arial" w:hAnsi="Arial" w:cs="Arial"/>
        </w:rPr>
        <w:t> </w:t>
      </w:r>
      <w:r w:rsidRPr="00F15C89">
        <w:rPr>
          <w:rFonts w:ascii="Arial" w:hAnsi="Arial" w:cs="Arial"/>
        </w:rPr>
        <w:t>zajištění recyklovatelnosti použitých obalů</w:t>
      </w:r>
      <w:r w:rsidR="007A7716" w:rsidRPr="00F15C89">
        <w:rPr>
          <w:rFonts w:ascii="Arial" w:hAnsi="Arial" w:cs="Arial"/>
        </w:rPr>
        <w:t xml:space="preserve"> apod</w:t>
      </w:r>
      <w:r w:rsidRPr="00F15C89">
        <w:rPr>
          <w:rFonts w:ascii="Arial" w:hAnsi="Arial" w:cs="Arial"/>
        </w:rPr>
        <w:t xml:space="preserve">. Tato kritéria </w:t>
      </w:r>
      <w:r w:rsidR="007A7716" w:rsidRPr="00F15C89">
        <w:rPr>
          <w:rFonts w:ascii="Arial" w:hAnsi="Arial" w:cs="Arial"/>
        </w:rPr>
        <w:t>lze</w:t>
      </w:r>
      <w:r w:rsidRPr="00F15C89">
        <w:rPr>
          <w:rFonts w:ascii="Arial" w:hAnsi="Arial" w:cs="Arial"/>
        </w:rPr>
        <w:t xml:space="preserve"> jednoduše naplňovat čist</w:t>
      </w:r>
      <w:r w:rsidR="007A7716" w:rsidRPr="00F15C89">
        <w:rPr>
          <w:rFonts w:ascii="Arial" w:hAnsi="Arial" w:cs="Arial"/>
        </w:rPr>
        <w:t>i</w:t>
      </w:r>
      <w:r w:rsidRPr="00F15C89">
        <w:rPr>
          <w:rFonts w:ascii="Arial" w:hAnsi="Arial" w:cs="Arial"/>
        </w:rPr>
        <w:t>cí</w:t>
      </w:r>
      <w:r w:rsidR="007A7716" w:rsidRPr="00F15C89">
        <w:rPr>
          <w:rFonts w:ascii="Arial" w:hAnsi="Arial" w:cs="Arial"/>
        </w:rPr>
        <w:t>mi</w:t>
      </w:r>
      <w:r w:rsidRPr="00F15C89">
        <w:rPr>
          <w:rFonts w:ascii="Arial" w:hAnsi="Arial" w:cs="Arial"/>
        </w:rPr>
        <w:t xml:space="preserve"> prostředky, </w:t>
      </w:r>
      <w:r w:rsidR="007A7716" w:rsidRPr="00F15C89">
        <w:rPr>
          <w:rFonts w:ascii="Arial" w:hAnsi="Arial" w:cs="Arial"/>
        </w:rPr>
        <w:t>certifikovanými</w:t>
      </w:r>
      <w:r w:rsidRPr="00F15C89">
        <w:rPr>
          <w:rFonts w:ascii="Arial" w:hAnsi="Arial" w:cs="Arial"/>
        </w:rPr>
        <w:t xml:space="preserve"> Ekoznačkou EU (Ecolabel)</w:t>
      </w:r>
      <w:r w:rsidR="009A090D" w:rsidRPr="00F15C89">
        <w:rPr>
          <w:rStyle w:val="Znakapoznpodarou"/>
          <w:rFonts w:ascii="Arial" w:hAnsi="Arial" w:cs="Arial"/>
          <w:vertAlign w:val="superscript"/>
        </w:rPr>
        <w:footnoteReference w:id="38"/>
      </w:r>
      <w:r w:rsidRPr="00F15C89">
        <w:rPr>
          <w:rFonts w:ascii="Arial" w:hAnsi="Arial" w:cs="Arial"/>
        </w:rPr>
        <w:t>, jako štítkem ve smyslu ZZVZ. Program</w:t>
      </w:r>
      <w:r w:rsidR="009A090D" w:rsidRPr="00F15C89">
        <w:rPr>
          <w:rFonts w:ascii="Arial" w:hAnsi="Arial" w:cs="Arial"/>
        </w:rPr>
        <w:t xml:space="preserve"> </w:t>
      </w:r>
      <w:r w:rsidRPr="00F15C89">
        <w:rPr>
          <w:rFonts w:ascii="Arial" w:hAnsi="Arial" w:cs="Arial"/>
        </w:rPr>
        <w:t>ekoznačení Evropské unie se řídí pravidly nařízení Evropského parlamentu a Rady (ES) č. 66/2010, které vychází ze zásad mezinárodní normy ISO 14024</w:t>
      </w:r>
      <w:r w:rsidRPr="00F15C89">
        <w:rPr>
          <w:rStyle w:val="Znakapoznpodarou"/>
          <w:rFonts w:ascii="Arial" w:hAnsi="Arial" w:cs="Arial"/>
          <w:vertAlign w:val="superscript"/>
        </w:rPr>
        <w:footnoteReference w:id="39"/>
      </w:r>
      <w:r w:rsidRPr="00F15C89">
        <w:rPr>
          <w:rFonts w:ascii="Arial" w:hAnsi="Arial" w:cs="Arial"/>
        </w:rPr>
        <w:t xml:space="preserve">. </w:t>
      </w:r>
    </w:p>
    <w:p w14:paraId="59D4B9A3" w14:textId="7A91A7CB" w:rsidR="00AE5B3F" w:rsidRPr="00F15C89" w:rsidRDefault="00AE5B3F" w:rsidP="00AE5B3F">
      <w:pPr>
        <w:tabs>
          <w:tab w:val="left" w:pos="567"/>
        </w:tabs>
        <w:spacing w:after="0" w:line="240" w:lineRule="auto"/>
        <w:jc w:val="both"/>
        <w:rPr>
          <w:rFonts w:ascii="Arial" w:hAnsi="Arial" w:cs="Arial"/>
          <w:lang w:eastAsia="cs-CZ"/>
        </w:rPr>
      </w:pPr>
      <w:bookmarkStart w:id="16" w:name="_Hlk186187210"/>
      <w:r w:rsidRPr="00F15C89">
        <w:rPr>
          <w:rFonts w:ascii="Arial" w:hAnsi="Arial" w:cs="Arial"/>
          <w:lang w:eastAsia="cs-CZ"/>
        </w:rPr>
        <w:t xml:space="preserve">Certifikace Ekoznačkou EU (Ecolabel) osvědčuje, že výrobek je prokazatelně šetrnější </w:t>
      </w:r>
      <w:r w:rsidR="00253421" w:rsidRPr="00F15C89">
        <w:rPr>
          <w:rFonts w:ascii="Arial" w:hAnsi="Arial" w:cs="Arial"/>
          <w:lang w:eastAsia="cs-CZ"/>
        </w:rPr>
        <w:t>k</w:t>
      </w:r>
      <w:r w:rsidR="00253421">
        <w:rPr>
          <w:rFonts w:ascii="Arial" w:hAnsi="Arial" w:cs="Arial"/>
          <w:lang w:eastAsia="cs-CZ"/>
        </w:rPr>
        <w:t> </w:t>
      </w:r>
      <w:r w:rsidRPr="00F15C89">
        <w:rPr>
          <w:rFonts w:ascii="Arial" w:hAnsi="Arial" w:cs="Arial"/>
          <w:lang w:eastAsia="cs-CZ"/>
        </w:rPr>
        <w:t>životnímu prostředí, a to v průběhu celého jeho životního cyklu.</w:t>
      </w:r>
    </w:p>
    <w:bookmarkEnd w:id="16"/>
    <w:p w14:paraId="3D8A6514" w14:textId="77777777" w:rsidR="009860D0" w:rsidRDefault="009860D0" w:rsidP="00AE5B3F">
      <w:pPr>
        <w:spacing w:line="240" w:lineRule="auto"/>
        <w:jc w:val="both"/>
        <w:rPr>
          <w:rFonts w:ascii="Arial" w:eastAsia="Calibri" w:hAnsi="Arial" w:cs="Arial"/>
        </w:rPr>
      </w:pPr>
    </w:p>
    <w:p w14:paraId="50E289EA" w14:textId="60913425" w:rsidR="00AE5B3F" w:rsidRPr="00F15C89" w:rsidRDefault="00AE5B3F" w:rsidP="00AE5B3F">
      <w:pPr>
        <w:spacing w:line="240" w:lineRule="auto"/>
        <w:jc w:val="both"/>
        <w:rPr>
          <w:rFonts w:ascii="Arial" w:hAnsi="Arial" w:cs="Arial"/>
        </w:rPr>
      </w:pPr>
      <w:r w:rsidRPr="00F15C89">
        <w:rPr>
          <w:rFonts w:ascii="Arial" w:eastAsia="Calibri" w:hAnsi="Arial" w:cs="Arial"/>
        </w:rPr>
        <w:t>Ekoznačka EU (Ecolabel)</w:t>
      </w:r>
      <w:r w:rsidRPr="00F15C89">
        <w:rPr>
          <w:rStyle w:val="Znakapoznpodarou"/>
          <w:rFonts w:ascii="Arial" w:eastAsia="Calibri" w:hAnsi="Arial" w:cs="Arial"/>
          <w:vertAlign w:val="superscript"/>
        </w:rPr>
        <w:footnoteReference w:id="40"/>
      </w:r>
      <w:r w:rsidRPr="00F15C89">
        <w:rPr>
          <w:rFonts w:ascii="Arial" w:eastAsia="Calibri" w:hAnsi="Arial" w:cs="Arial"/>
        </w:rPr>
        <w:t xml:space="preserve"> má podobu uvedenou v Příloze II nařízení (ES) č. 66/2010, </w:t>
      </w:r>
      <w:r w:rsidR="00253421" w:rsidRPr="00F15C89">
        <w:rPr>
          <w:rFonts w:ascii="Arial" w:eastAsia="Calibri" w:hAnsi="Arial" w:cs="Arial"/>
        </w:rPr>
        <w:t>o</w:t>
      </w:r>
      <w:r w:rsidR="00253421">
        <w:rPr>
          <w:rFonts w:ascii="Arial" w:eastAsia="Calibri" w:hAnsi="Arial" w:cs="Arial"/>
        </w:rPr>
        <w:t> </w:t>
      </w:r>
      <w:r w:rsidRPr="00F15C89">
        <w:rPr>
          <w:rFonts w:ascii="Arial" w:eastAsia="Calibri" w:hAnsi="Arial" w:cs="Arial"/>
        </w:rPr>
        <w:t>Ekoznačce EU:</w:t>
      </w:r>
    </w:p>
    <w:p w14:paraId="1292CFA4" w14:textId="77777777" w:rsidR="00AE5B3F" w:rsidRPr="00F15C89" w:rsidRDefault="00AE5B3F" w:rsidP="00AE5B3F">
      <w:pPr>
        <w:spacing w:line="240" w:lineRule="auto"/>
        <w:jc w:val="both"/>
        <w:rPr>
          <w:rFonts w:ascii="Arial" w:eastAsia="Calibri" w:hAnsi="Arial" w:cs="Arial"/>
        </w:rPr>
      </w:pPr>
      <w:r w:rsidRPr="00F15C89">
        <w:rPr>
          <w:rFonts w:ascii="Arial" w:eastAsia="Calibri" w:hAnsi="Arial" w:cs="Arial"/>
        </w:rPr>
        <w:t xml:space="preserve"> </w:t>
      </w:r>
      <w:r w:rsidRPr="00F15C89">
        <w:rPr>
          <w:rFonts w:ascii="Arial" w:hAnsi="Arial" w:cs="Arial"/>
          <w:noProof/>
        </w:rPr>
        <w:drawing>
          <wp:inline distT="0" distB="0" distL="0" distR="0" wp14:anchorId="438D6FA8" wp14:editId="24016244">
            <wp:extent cx="1187450" cy="1187450"/>
            <wp:effectExtent l="0" t="0" r="0" b="0"/>
            <wp:docPr id="778880654" name="Obrázek 1" descr="Domovská stránka - Ekoznačk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1">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inline>
        </w:drawing>
      </w:r>
      <w:r w:rsidRPr="00F15C89">
        <w:rPr>
          <w:rFonts w:ascii="Arial" w:eastAsia="Calibri" w:hAnsi="Arial" w:cs="Arial"/>
        </w:rPr>
        <w:t xml:space="preserve"> </w:t>
      </w:r>
    </w:p>
    <w:p w14:paraId="561A059E" w14:textId="3F56523E" w:rsidR="00457D87" w:rsidRPr="00F15C89" w:rsidRDefault="00457D87" w:rsidP="008138CC">
      <w:pPr>
        <w:spacing w:line="240" w:lineRule="auto"/>
        <w:ind w:firstLine="426"/>
        <w:jc w:val="both"/>
        <w:rPr>
          <w:rFonts w:ascii="Arial" w:eastAsia="Times New Roman" w:hAnsi="Arial" w:cs="Arial"/>
          <w:lang w:eastAsia="cs-CZ"/>
        </w:rPr>
      </w:pPr>
      <w:r w:rsidRPr="00F15C89">
        <w:rPr>
          <w:rFonts w:ascii="Arial" w:eastAsia="Calibri" w:hAnsi="Arial" w:cs="Arial"/>
        </w:rPr>
        <w:lastRenderedPageBreak/>
        <w:t>Pod logem je pro každý konkrétní výrobek uveden rámeček s unikátním číslem licence certifikace v předepsaném tvaru, např: EU/yyy/zzzz, číslo licence obsahuje EU nebo konkrétní zemi původu z EU a produktovou skupinu, pro kterou byla ekoznačka udělena.</w:t>
      </w:r>
    </w:p>
    <w:p w14:paraId="25348D63" w14:textId="5D0CFB85" w:rsidR="00AE5B3F" w:rsidRPr="00F15C89" w:rsidRDefault="00AE5B3F" w:rsidP="008138CC">
      <w:pPr>
        <w:spacing w:line="240" w:lineRule="auto"/>
        <w:ind w:firstLine="426"/>
        <w:jc w:val="both"/>
        <w:rPr>
          <w:rFonts w:ascii="Arial" w:eastAsia="Times New Roman" w:hAnsi="Arial" w:cs="Arial"/>
          <w:lang w:eastAsia="cs-CZ"/>
        </w:rPr>
      </w:pPr>
      <w:r w:rsidRPr="00F15C89">
        <w:rPr>
          <w:rFonts w:ascii="Arial" w:eastAsia="Times New Roman" w:hAnsi="Arial" w:cs="Arial"/>
          <w:lang w:eastAsia="cs-CZ"/>
        </w:rPr>
        <w:t>Ekoznačkou EU (Ecolabel) může být certifikován i výrobek ze třetí země, pokud splňuje kritéria pro její udělení, uvádí svůj výrobek na trh v Evropské unii, a o certifikaci zažádá.</w:t>
      </w:r>
    </w:p>
    <w:p w14:paraId="4214CEDB" w14:textId="29CF3CFB" w:rsidR="00AE5A0F" w:rsidRPr="00F15C89" w:rsidRDefault="003C1AE4" w:rsidP="008138CC">
      <w:pPr>
        <w:spacing w:after="0" w:line="240" w:lineRule="auto"/>
        <w:ind w:firstLine="426"/>
        <w:jc w:val="both"/>
        <w:rPr>
          <w:rStyle w:val="normaltextrun"/>
          <w:rFonts w:ascii="Arial" w:hAnsi="Arial" w:cs="Arial"/>
          <w:b/>
          <w:bCs/>
          <w:color w:val="000000"/>
          <w:shd w:val="clear" w:color="auto" w:fill="FFFFFF"/>
        </w:rPr>
      </w:pPr>
      <w:r w:rsidRPr="00F15C89">
        <w:rPr>
          <w:rFonts w:ascii="Arial" w:hAnsi="Arial" w:cs="Arial"/>
        </w:rPr>
        <w:t>Čisticí</w:t>
      </w:r>
      <w:r w:rsidR="00E851B0" w:rsidRPr="00F15C89">
        <w:rPr>
          <w:rFonts w:ascii="Arial" w:hAnsi="Arial" w:cs="Arial"/>
        </w:rPr>
        <w:t xml:space="preserve"> </w:t>
      </w:r>
      <w:r w:rsidR="006F044A" w:rsidRPr="00F15C89">
        <w:rPr>
          <w:rFonts w:ascii="Arial" w:hAnsi="Arial" w:cs="Arial"/>
        </w:rPr>
        <w:t xml:space="preserve">prostředky, pro které standard stanoví </w:t>
      </w:r>
      <w:r w:rsidR="00435DC7" w:rsidRPr="00F15C89">
        <w:rPr>
          <w:rFonts w:ascii="Arial" w:hAnsi="Arial" w:cs="Arial"/>
        </w:rPr>
        <w:t>povinnou certifikaci Ekoznačkou EU (Ecolabel) byly pečlivě vybrány tak, aby se jednalo o formu úklidu (</w:t>
      </w:r>
      <w:r w:rsidR="00E05F5C" w:rsidRPr="00F15C89">
        <w:rPr>
          <w:rFonts w:ascii="Arial" w:hAnsi="Arial" w:cs="Arial"/>
        </w:rPr>
        <w:t xml:space="preserve">běžný úklid </w:t>
      </w:r>
      <w:r w:rsidR="00435DC7" w:rsidRPr="00F15C89">
        <w:rPr>
          <w:rFonts w:ascii="Arial" w:hAnsi="Arial" w:cs="Arial"/>
        </w:rPr>
        <w:t xml:space="preserve">na denní bázi) a </w:t>
      </w:r>
      <w:r w:rsidR="00E05F5C" w:rsidRPr="00F15C89">
        <w:rPr>
          <w:rFonts w:ascii="Arial" w:hAnsi="Arial" w:cs="Arial"/>
        </w:rPr>
        <w:t xml:space="preserve">čištění </w:t>
      </w:r>
      <w:r w:rsidR="00435DC7" w:rsidRPr="00F15C89">
        <w:rPr>
          <w:rFonts w:ascii="Arial" w:hAnsi="Arial" w:cs="Arial"/>
        </w:rPr>
        <w:t>povrch</w:t>
      </w:r>
      <w:r w:rsidR="00E05F5C" w:rsidRPr="00F15C89">
        <w:rPr>
          <w:rFonts w:ascii="Arial" w:hAnsi="Arial" w:cs="Arial"/>
        </w:rPr>
        <w:t>ů</w:t>
      </w:r>
      <w:r w:rsidR="00435DC7" w:rsidRPr="00F15C89">
        <w:rPr>
          <w:rFonts w:ascii="Arial" w:hAnsi="Arial" w:cs="Arial"/>
        </w:rPr>
        <w:t xml:space="preserve"> (zejména</w:t>
      </w:r>
      <w:r w:rsidR="006F044A" w:rsidRPr="00F15C89">
        <w:rPr>
          <w:rFonts w:ascii="Arial" w:hAnsi="Arial" w:cs="Arial"/>
        </w:rPr>
        <w:t xml:space="preserve"> </w:t>
      </w:r>
      <w:r w:rsidR="00E05F5C" w:rsidRPr="00F15C89">
        <w:rPr>
          <w:rFonts w:ascii="Arial" w:hAnsi="Arial" w:cs="Arial"/>
          <w:lang w:eastAsia="cs-CZ"/>
        </w:rPr>
        <w:t>tvrdých povrchů, jako jsou stěny, podlahy</w:t>
      </w:r>
      <w:r w:rsidR="00BA0190" w:rsidRPr="00F15C89">
        <w:rPr>
          <w:rFonts w:ascii="Arial" w:hAnsi="Arial" w:cs="Arial"/>
          <w:lang w:eastAsia="cs-CZ"/>
        </w:rPr>
        <w:t xml:space="preserve">, </w:t>
      </w:r>
      <w:r w:rsidR="00E05F5C" w:rsidRPr="00F15C89">
        <w:rPr>
          <w:rFonts w:ascii="Arial" w:hAnsi="Arial" w:cs="Arial"/>
          <w:lang w:eastAsia="cs-CZ"/>
        </w:rPr>
        <w:t xml:space="preserve">oken, skel na stolech, skříňkách </w:t>
      </w:r>
      <w:r w:rsidR="00BA0190" w:rsidRPr="00F15C89">
        <w:rPr>
          <w:rFonts w:ascii="Arial" w:hAnsi="Arial" w:cs="Arial"/>
          <w:lang w:eastAsia="cs-CZ"/>
        </w:rPr>
        <w:t>a b</w:t>
      </w:r>
      <w:r w:rsidR="00E05F5C" w:rsidRPr="00F15C89">
        <w:rPr>
          <w:rFonts w:ascii="Arial" w:hAnsi="Arial" w:cs="Arial"/>
          <w:lang w:eastAsia="cs-CZ"/>
        </w:rPr>
        <w:t>ěžné čištění a odmašťování kuchyňských lin</w:t>
      </w:r>
      <w:r w:rsidR="00BA0190" w:rsidRPr="00F15C89">
        <w:rPr>
          <w:rFonts w:ascii="Arial" w:hAnsi="Arial" w:cs="Arial"/>
          <w:lang w:eastAsia="cs-CZ"/>
        </w:rPr>
        <w:t>e</w:t>
      </w:r>
      <w:r w:rsidR="00E05F5C" w:rsidRPr="00F15C89">
        <w:rPr>
          <w:rFonts w:ascii="Arial" w:hAnsi="Arial" w:cs="Arial"/>
          <w:lang w:eastAsia="cs-CZ"/>
        </w:rPr>
        <w:t>k, varn</w:t>
      </w:r>
      <w:r w:rsidR="00BA0190" w:rsidRPr="00F15C89">
        <w:rPr>
          <w:rFonts w:ascii="Arial" w:hAnsi="Arial" w:cs="Arial"/>
          <w:lang w:eastAsia="cs-CZ"/>
        </w:rPr>
        <w:t>ých</w:t>
      </w:r>
      <w:r w:rsidR="00E05F5C" w:rsidRPr="00F15C89">
        <w:rPr>
          <w:rFonts w:ascii="Arial" w:hAnsi="Arial" w:cs="Arial"/>
          <w:lang w:eastAsia="cs-CZ"/>
        </w:rPr>
        <w:t xml:space="preserve"> des</w:t>
      </w:r>
      <w:r w:rsidR="00BA0190" w:rsidRPr="00F15C89">
        <w:rPr>
          <w:rFonts w:ascii="Arial" w:hAnsi="Arial" w:cs="Arial"/>
          <w:lang w:eastAsia="cs-CZ"/>
        </w:rPr>
        <w:t>e</w:t>
      </w:r>
      <w:r w:rsidR="00E05F5C" w:rsidRPr="00F15C89">
        <w:rPr>
          <w:rFonts w:ascii="Arial" w:hAnsi="Arial" w:cs="Arial"/>
          <w:lang w:eastAsia="cs-CZ"/>
        </w:rPr>
        <w:t>k, kuchyňský</w:t>
      </w:r>
      <w:r w:rsidR="00BA0190" w:rsidRPr="00F15C89">
        <w:rPr>
          <w:rFonts w:ascii="Arial" w:hAnsi="Arial" w:cs="Arial"/>
          <w:lang w:eastAsia="cs-CZ"/>
        </w:rPr>
        <w:t>ch</w:t>
      </w:r>
      <w:r w:rsidR="00E05F5C" w:rsidRPr="00F15C89">
        <w:rPr>
          <w:rFonts w:ascii="Arial" w:hAnsi="Arial" w:cs="Arial"/>
          <w:lang w:eastAsia="cs-CZ"/>
        </w:rPr>
        <w:t xml:space="preserve"> dřez</w:t>
      </w:r>
      <w:r w:rsidR="00BA0190" w:rsidRPr="00F15C89">
        <w:rPr>
          <w:rFonts w:ascii="Arial" w:hAnsi="Arial" w:cs="Arial"/>
          <w:lang w:eastAsia="cs-CZ"/>
        </w:rPr>
        <w:t>ů</w:t>
      </w:r>
      <w:r w:rsidR="00263F4D" w:rsidRPr="00F15C89">
        <w:rPr>
          <w:rFonts w:ascii="Arial" w:hAnsi="Arial" w:cs="Arial"/>
          <w:lang w:eastAsia="cs-CZ"/>
        </w:rPr>
        <w:t xml:space="preserve">, </w:t>
      </w:r>
      <w:r w:rsidR="00E05F5C" w:rsidRPr="00F15C89">
        <w:rPr>
          <w:rFonts w:ascii="Arial" w:hAnsi="Arial" w:cs="Arial"/>
          <w:lang w:eastAsia="cs-CZ"/>
        </w:rPr>
        <w:t>povrch</w:t>
      </w:r>
      <w:r w:rsidR="00263F4D" w:rsidRPr="00F15C89">
        <w:rPr>
          <w:rFonts w:ascii="Arial" w:hAnsi="Arial" w:cs="Arial"/>
          <w:lang w:eastAsia="cs-CZ"/>
        </w:rPr>
        <w:t>ů</w:t>
      </w:r>
      <w:r w:rsidR="00E05F5C" w:rsidRPr="00F15C89">
        <w:rPr>
          <w:rFonts w:ascii="Arial" w:hAnsi="Arial" w:cs="Arial"/>
          <w:lang w:eastAsia="cs-CZ"/>
        </w:rPr>
        <w:t xml:space="preserve"> kuchyňských spotřebičů apod</w:t>
      </w:r>
      <w:r w:rsidR="00263F4D" w:rsidRPr="00F15C89">
        <w:rPr>
          <w:rFonts w:ascii="Arial" w:hAnsi="Arial" w:cs="Arial"/>
          <w:lang w:eastAsia="cs-CZ"/>
        </w:rPr>
        <w:t xml:space="preserve">.), u kterých </w:t>
      </w:r>
      <w:r w:rsidR="00135B3C" w:rsidRPr="00F15C89">
        <w:rPr>
          <w:rFonts w:ascii="Arial" w:hAnsi="Arial" w:cs="Arial"/>
          <w:lang w:eastAsia="cs-CZ"/>
        </w:rPr>
        <w:t>z konzultací s</w:t>
      </w:r>
      <w:r w:rsidR="00943E76" w:rsidRPr="00F15C89">
        <w:rPr>
          <w:rFonts w:ascii="Arial" w:hAnsi="Arial" w:cs="Arial"/>
          <w:lang w:eastAsia="cs-CZ"/>
        </w:rPr>
        <w:t> </w:t>
      </w:r>
      <w:r w:rsidR="00135B3C" w:rsidRPr="00F15C89">
        <w:rPr>
          <w:rFonts w:ascii="Arial" w:hAnsi="Arial" w:cs="Arial"/>
          <w:lang w:eastAsia="cs-CZ"/>
        </w:rPr>
        <w:t>odborníky</w:t>
      </w:r>
      <w:r w:rsidR="00943E76" w:rsidRPr="00F15C89">
        <w:rPr>
          <w:rFonts w:ascii="Arial" w:hAnsi="Arial" w:cs="Arial"/>
          <w:lang w:eastAsia="cs-CZ"/>
        </w:rPr>
        <w:t xml:space="preserve"> i</w:t>
      </w:r>
      <w:r w:rsidR="00135B3C" w:rsidRPr="00F15C89">
        <w:rPr>
          <w:rFonts w:ascii="Arial" w:hAnsi="Arial" w:cs="Arial"/>
          <w:lang w:eastAsia="cs-CZ"/>
        </w:rPr>
        <w:t xml:space="preserve"> zadavateli </w:t>
      </w:r>
      <w:r w:rsidR="00943E76" w:rsidRPr="00F15C89">
        <w:rPr>
          <w:rFonts w:ascii="Arial" w:hAnsi="Arial" w:cs="Arial"/>
          <w:lang w:eastAsia="cs-CZ"/>
        </w:rPr>
        <w:t xml:space="preserve">nejsou pochybnosti o účinnosti čištění ekologickými prostředky, prokazatelně </w:t>
      </w:r>
      <w:r w:rsidR="00DD231D" w:rsidRPr="00F15C89">
        <w:rPr>
          <w:rFonts w:ascii="Arial" w:hAnsi="Arial" w:cs="Arial"/>
          <w:lang w:eastAsia="cs-CZ"/>
        </w:rPr>
        <w:t>šetrnějšími v průběhu celého jejich životního cyklu k životnímu prostředí. Těchto prostředků je také dostatek na trhu.</w:t>
      </w:r>
      <w:r w:rsidR="00135B3C" w:rsidRPr="00F15C89">
        <w:rPr>
          <w:rFonts w:ascii="Arial" w:hAnsi="Arial" w:cs="Arial"/>
          <w:lang w:eastAsia="cs-CZ"/>
        </w:rPr>
        <w:t xml:space="preserve"> </w:t>
      </w:r>
      <w:r w:rsidR="00AE5A0F" w:rsidRPr="00F15C89">
        <w:rPr>
          <w:rStyle w:val="normaltextrun"/>
          <w:rFonts w:ascii="Arial" w:hAnsi="Arial" w:cs="Arial"/>
          <w:b/>
          <w:bCs/>
          <w:color w:val="000000"/>
          <w:shd w:val="clear" w:color="auto" w:fill="FFFFFF"/>
        </w:rPr>
        <w:br w:type="page"/>
      </w:r>
    </w:p>
    <w:p w14:paraId="6E50E2C4" w14:textId="0A92F02E" w:rsidR="00F13BB9" w:rsidRPr="00F15C89" w:rsidRDefault="00F13BB9" w:rsidP="00386619">
      <w:pPr>
        <w:pStyle w:val="Nadpis1"/>
        <w:rPr>
          <w:rStyle w:val="normaltextrun"/>
          <w:rFonts w:cs="Arial"/>
          <w:color w:val="000000"/>
          <w:sz w:val="22"/>
          <w:szCs w:val="22"/>
          <w:shd w:val="clear" w:color="auto" w:fill="FFFFFF"/>
        </w:rPr>
      </w:pPr>
      <w:bookmarkStart w:id="17" w:name="_Toc197677982"/>
      <w:bookmarkStart w:id="18" w:name="_Toc198290969"/>
      <w:r w:rsidRPr="00F15C89">
        <w:rPr>
          <w:rStyle w:val="normaltextrun"/>
          <w:rFonts w:cs="Arial"/>
          <w:sz w:val="22"/>
          <w:szCs w:val="22"/>
        </w:rPr>
        <w:lastRenderedPageBreak/>
        <w:t xml:space="preserve">Minimální standard OVZ pro </w:t>
      </w:r>
      <w:r w:rsidRPr="00F15C89">
        <w:rPr>
          <w:rStyle w:val="normaltextrun"/>
          <w:rFonts w:cs="Arial"/>
          <w:color w:val="000000"/>
          <w:sz w:val="22"/>
          <w:szCs w:val="22"/>
          <w:shd w:val="clear" w:color="auto" w:fill="FFFFFF"/>
        </w:rPr>
        <w:t>stavebnictví</w:t>
      </w:r>
      <w:bookmarkEnd w:id="17"/>
      <w:bookmarkEnd w:id="18"/>
    </w:p>
    <w:p w14:paraId="30186879" w14:textId="77777777" w:rsidR="00F13BB9" w:rsidRPr="00F15C89" w:rsidRDefault="00F13BB9" w:rsidP="00F35517">
      <w:pPr>
        <w:spacing w:after="0" w:line="240" w:lineRule="auto"/>
        <w:jc w:val="both"/>
        <w:rPr>
          <w:rStyle w:val="normaltextrun"/>
          <w:rFonts w:ascii="Arial" w:hAnsi="Arial" w:cs="Arial"/>
          <w:color w:val="000000"/>
          <w:shd w:val="clear" w:color="auto" w:fill="FFFFFF"/>
        </w:rPr>
      </w:pPr>
    </w:p>
    <w:p w14:paraId="663960AB" w14:textId="333ECCDE" w:rsidR="00F13BB9" w:rsidRPr="00F15C89" w:rsidRDefault="00F13BB9" w:rsidP="008138CC">
      <w:pPr>
        <w:spacing w:after="0" w:line="240" w:lineRule="auto"/>
        <w:ind w:firstLine="426"/>
        <w:jc w:val="both"/>
        <w:rPr>
          <w:rFonts w:ascii="Arial" w:hAnsi="Arial" w:cs="Arial"/>
        </w:rPr>
      </w:pPr>
      <w:r w:rsidRPr="00F15C89">
        <w:rPr>
          <w:rFonts w:ascii="Arial" w:hAnsi="Arial" w:cs="Arial"/>
        </w:rPr>
        <w:t xml:space="preserve">Veřejné zakázky ve stavebním sektoru představují dlouhodobě jedno z nejdůležitějších odvětví veřejného zadávání. </w:t>
      </w:r>
      <w:r w:rsidR="00981210" w:rsidRPr="00F15C89">
        <w:rPr>
          <w:rFonts w:ascii="Arial" w:hAnsi="Arial" w:cs="Arial"/>
        </w:rPr>
        <w:t>V</w:t>
      </w:r>
      <w:r w:rsidRPr="00F15C89">
        <w:rPr>
          <w:rFonts w:ascii="Arial" w:hAnsi="Arial" w:cs="Arial"/>
        </w:rPr>
        <w:t xml:space="preserve">eřejné zakázky na stavební práce tvoří více než 40 % finančního objemu veřejných zakázek. </w:t>
      </w:r>
    </w:p>
    <w:p w14:paraId="46696FBF" w14:textId="77777777" w:rsidR="00784D3D" w:rsidRPr="00F15C89" w:rsidRDefault="00784D3D" w:rsidP="00F35517">
      <w:pPr>
        <w:spacing w:after="0" w:line="240" w:lineRule="auto"/>
        <w:jc w:val="both"/>
        <w:rPr>
          <w:rFonts w:ascii="Arial" w:hAnsi="Arial" w:cs="Arial"/>
        </w:rPr>
      </w:pPr>
    </w:p>
    <w:p w14:paraId="423E6D4B" w14:textId="7DA92F5D" w:rsidR="00F13BB9" w:rsidRPr="00F15C89" w:rsidRDefault="004E0931" w:rsidP="00C05785">
      <w:pPr>
        <w:pStyle w:val="Titulek"/>
        <w:spacing w:after="0"/>
        <w:jc w:val="both"/>
        <w:rPr>
          <w:rFonts w:ascii="Arial" w:hAnsi="Arial" w:cs="Arial"/>
          <w:sz w:val="22"/>
          <w:szCs w:val="22"/>
        </w:rPr>
      </w:pPr>
      <w:bookmarkStart w:id="19" w:name="_Toc194053153"/>
      <w:r w:rsidRPr="00F15C89">
        <w:rPr>
          <w:rFonts w:ascii="Arial" w:hAnsi="Arial" w:cs="Arial"/>
          <w:sz w:val="22"/>
          <w:szCs w:val="22"/>
        </w:rPr>
        <w:t xml:space="preserve">Tabulka </w:t>
      </w:r>
      <w:r w:rsidRPr="00F15C89">
        <w:rPr>
          <w:rFonts w:ascii="Arial" w:hAnsi="Arial" w:cs="Arial"/>
          <w:sz w:val="22"/>
          <w:szCs w:val="22"/>
        </w:rPr>
        <w:fldChar w:fldCharType="begin"/>
      </w:r>
      <w:r w:rsidRPr="00F15C89">
        <w:rPr>
          <w:rFonts w:ascii="Arial" w:hAnsi="Arial" w:cs="Arial"/>
          <w:sz w:val="22"/>
          <w:szCs w:val="22"/>
        </w:rPr>
        <w:instrText xml:space="preserve"> SEQ Tabulka \* ARABIC </w:instrText>
      </w:r>
      <w:r w:rsidRPr="00F15C89">
        <w:rPr>
          <w:rFonts w:ascii="Arial" w:hAnsi="Arial" w:cs="Arial"/>
          <w:sz w:val="22"/>
          <w:szCs w:val="22"/>
        </w:rPr>
        <w:fldChar w:fldCharType="separate"/>
      </w:r>
      <w:r w:rsidR="008B24A6" w:rsidRPr="00F15C89">
        <w:rPr>
          <w:rFonts w:ascii="Arial" w:hAnsi="Arial" w:cs="Arial"/>
          <w:noProof/>
          <w:sz w:val="22"/>
          <w:szCs w:val="22"/>
        </w:rPr>
        <w:t>7</w:t>
      </w:r>
      <w:r w:rsidRPr="00F15C89">
        <w:rPr>
          <w:rFonts w:ascii="Arial" w:hAnsi="Arial" w:cs="Arial"/>
          <w:sz w:val="22"/>
          <w:szCs w:val="22"/>
        </w:rPr>
        <w:fldChar w:fldCharType="end"/>
      </w:r>
      <w:r w:rsidRPr="00F15C89">
        <w:rPr>
          <w:rFonts w:ascii="Arial" w:hAnsi="Arial" w:cs="Arial"/>
          <w:sz w:val="22"/>
          <w:szCs w:val="22"/>
        </w:rPr>
        <w:t xml:space="preserve"> </w:t>
      </w:r>
      <w:r w:rsidR="00342CF3" w:rsidRPr="00F15C89">
        <w:rPr>
          <w:rFonts w:ascii="Arial" w:hAnsi="Arial" w:cs="Arial"/>
          <w:sz w:val="22"/>
          <w:szCs w:val="22"/>
        </w:rPr>
        <w:t>Finanční objemy VZ pro stavebnictví</w:t>
      </w:r>
      <w:bookmarkEnd w:id="19"/>
    </w:p>
    <w:tbl>
      <w:tblPr>
        <w:tblStyle w:val="Mkatabulky"/>
        <w:tblW w:w="0" w:type="auto"/>
        <w:tblLook w:val="04A0" w:firstRow="1" w:lastRow="0" w:firstColumn="1" w:lastColumn="0" w:noHBand="0" w:noVBand="1"/>
      </w:tblPr>
      <w:tblGrid>
        <w:gridCol w:w="2689"/>
        <w:gridCol w:w="2693"/>
      </w:tblGrid>
      <w:tr w:rsidR="00F13BB9" w:rsidRPr="00F15C89" w14:paraId="585801CB" w14:textId="77777777" w:rsidTr="00676798">
        <w:tc>
          <w:tcPr>
            <w:tcW w:w="2689" w:type="dxa"/>
          </w:tcPr>
          <w:p w14:paraId="6FF3A2AC" w14:textId="77777777" w:rsidR="00F13BB9" w:rsidRPr="00F15C89" w:rsidRDefault="00F13BB9" w:rsidP="00F35517">
            <w:pPr>
              <w:jc w:val="both"/>
              <w:rPr>
                <w:rFonts w:ascii="Arial" w:hAnsi="Arial" w:cs="Arial"/>
              </w:rPr>
            </w:pPr>
            <w:r w:rsidRPr="00F15C89">
              <w:rPr>
                <w:rFonts w:ascii="Arial" w:hAnsi="Arial" w:cs="Arial"/>
              </w:rPr>
              <w:t>Objem VZ za rok 2022</w:t>
            </w:r>
          </w:p>
        </w:tc>
        <w:tc>
          <w:tcPr>
            <w:tcW w:w="2693" w:type="dxa"/>
          </w:tcPr>
          <w:p w14:paraId="70B484D0" w14:textId="77777777" w:rsidR="00F13BB9" w:rsidRPr="00F15C89" w:rsidRDefault="00F13BB9" w:rsidP="00F35517">
            <w:pPr>
              <w:jc w:val="both"/>
              <w:rPr>
                <w:rFonts w:ascii="Arial" w:hAnsi="Arial" w:cs="Arial"/>
              </w:rPr>
            </w:pPr>
            <w:r w:rsidRPr="00F15C89">
              <w:rPr>
                <w:rFonts w:ascii="Arial" w:hAnsi="Arial" w:cs="Arial"/>
              </w:rPr>
              <w:t>Objem VZ za rok 2023</w:t>
            </w:r>
          </w:p>
        </w:tc>
      </w:tr>
      <w:tr w:rsidR="00F13BB9" w:rsidRPr="00F15C89" w14:paraId="0E4C1337" w14:textId="77777777" w:rsidTr="00676798">
        <w:tc>
          <w:tcPr>
            <w:tcW w:w="2689" w:type="dxa"/>
          </w:tcPr>
          <w:p w14:paraId="4349A7AE" w14:textId="77777777" w:rsidR="00F13BB9" w:rsidRPr="00F15C89" w:rsidRDefault="00F13BB9" w:rsidP="00F35517">
            <w:pPr>
              <w:jc w:val="both"/>
              <w:rPr>
                <w:rFonts w:ascii="Arial" w:hAnsi="Arial" w:cs="Arial"/>
              </w:rPr>
            </w:pPr>
            <w:r w:rsidRPr="00F15C89">
              <w:rPr>
                <w:rFonts w:ascii="Arial" w:hAnsi="Arial" w:cs="Arial"/>
              </w:rPr>
              <w:t>167 mld. Kč</w:t>
            </w:r>
          </w:p>
        </w:tc>
        <w:tc>
          <w:tcPr>
            <w:tcW w:w="2693" w:type="dxa"/>
          </w:tcPr>
          <w:p w14:paraId="7BB29D5E" w14:textId="77777777" w:rsidR="00F13BB9" w:rsidRPr="00F15C89" w:rsidRDefault="00F13BB9" w:rsidP="00F35517">
            <w:pPr>
              <w:jc w:val="both"/>
              <w:rPr>
                <w:rFonts w:ascii="Arial" w:hAnsi="Arial" w:cs="Arial"/>
              </w:rPr>
            </w:pPr>
            <w:r w:rsidRPr="00F15C89">
              <w:rPr>
                <w:rFonts w:ascii="Arial" w:hAnsi="Arial" w:cs="Arial"/>
              </w:rPr>
              <w:t>172 mld. Kč</w:t>
            </w:r>
          </w:p>
        </w:tc>
      </w:tr>
    </w:tbl>
    <w:p w14:paraId="4DCB2991" w14:textId="77777777" w:rsidR="00D73571" w:rsidRPr="00F15C89" w:rsidRDefault="00D73571" w:rsidP="00F35517">
      <w:pPr>
        <w:pStyle w:val="Odstavecseseznamem"/>
        <w:ind w:left="0"/>
        <w:jc w:val="both"/>
        <w:rPr>
          <w:rFonts w:ascii="Arial" w:hAnsi="Arial" w:cs="Arial"/>
          <w:i/>
          <w:iCs/>
        </w:rPr>
      </w:pPr>
      <w:r w:rsidRPr="00F15C89">
        <w:rPr>
          <w:rFonts w:ascii="Arial" w:hAnsi="Arial" w:cs="Arial"/>
          <w:i/>
          <w:iCs/>
        </w:rPr>
        <w:t>Zdroj: Věstník veřejných zakázek</w:t>
      </w:r>
    </w:p>
    <w:p w14:paraId="2EF26679" w14:textId="77777777" w:rsidR="00B10069" w:rsidRPr="00F15C89" w:rsidRDefault="00B10069" w:rsidP="00F35517">
      <w:pPr>
        <w:pStyle w:val="Odstavecseseznamem"/>
        <w:ind w:left="0"/>
        <w:jc w:val="both"/>
        <w:rPr>
          <w:rStyle w:val="normaltextrun"/>
          <w:rFonts w:ascii="Arial" w:hAnsi="Arial" w:cs="Arial"/>
          <w:highlight w:val="lightGray"/>
        </w:rPr>
      </w:pPr>
    </w:p>
    <w:p w14:paraId="061F32E2" w14:textId="31D563C9" w:rsidR="005941C8" w:rsidRPr="00F15C89" w:rsidRDefault="005941C8" w:rsidP="00F35517">
      <w:pPr>
        <w:pStyle w:val="Odstavecseseznamem"/>
        <w:numPr>
          <w:ilvl w:val="0"/>
          <w:numId w:val="39"/>
        </w:numPr>
        <w:spacing w:after="0" w:line="240" w:lineRule="auto"/>
        <w:ind w:left="284" w:hanging="295"/>
        <w:jc w:val="both"/>
        <w:rPr>
          <w:rFonts w:ascii="Arial" w:eastAsia="Calibri" w:hAnsi="Arial" w:cs="Arial"/>
          <w:color w:val="000000" w:themeColor="text1"/>
        </w:rPr>
      </w:pPr>
      <w:r w:rsidRPr="00F15C89">
        <w:rPr>
          <w:rFonts w:ascii="Arial" w:hAnsi="Arial" w:cs="Arial"/>
          <w:color w:val="000000" w:themeColor="text1"/>
        </w:rPr>
        <w:t xml:space="preserve">Zajištění důstojných pracovních podmínek </w:t>
      </w:r>
      <w:r w:rsidRPr="00F15C89">
        <w:rPr>
          <w:rFonts w:ascii="Arial" w:eastAsia="Calibri" w:hAnsi="Arial" w:cs="Arial"/>
          <w:color w:val="000000" w:themeColor="text1"/>
        </w:rPr>
        <w:t>ve vztahu k dodržování pracovněprávní</w:t>
      </w:r>
      <w:r w:rsidR="00B12758" w:rsidRPr="00F15C89">
        <w:rPr>
          <w:rFonts w:ascii="Arial" w:eastAsia="Calibri" w:hAnsi="Arial" w:cs="Arial"/>
          <w:color w:val="000000" w:themeColor="text1"/>
        </w:rPr>
        <w:t>ch</w:t>
      </w:r>
      <w:r w:rsidRPr="00F15C89">
        <w:rPr>
          <w:rFonts w:ascii="Arial" w:eastAsia="Calibri" w:hAnsi="Arial" w:cs="Arial"/>
          <w:color w:val="000000" w:themeColor="text1"/>
        </w:rPr>
        <w:t xml:space="preserve"> předpis</w:t>
      </w:r>
      <w:r w:rsidR="00B12758" w:rsidRPr="00F15C89">
        <w:rPr>
          <w:rFonts w:ascii="Arial" w:eastAsia="Calibri" w:hAnsi="Arial" w:cs="Arial"/>
          <w:color w:val="000000" w:themeColor="text1"/>
        </w:rPr>
        <w:t>ů</w:t>
      </w:r>
    </w:p>
    <w:p w14:paraId="20587A20" w14:textId="39DB1055" w:rsidR="00F13BB9" w:rsidRPr="00F15C89" w:rsidRDefault="00F13BB9" w:rsidP="008138CC">
      <w:pPr>
        <w:spacing w:after="0" w:line="240" w:lineRule="auto"/>
        <w:ind w:firstLine="426"/>
        <w:jc w:val="both"/>
        <w:rPr>
          <w:rFonts w:ascii="Arial" w:hAnsi="Arial" w:cs="Arial"/>
        </w:rPr>
      </w:pPr>
      <w:r w:rsidRPr="00F15C89">
        <w:rPr>
          <w:rFonts w:ascii="Arial" w:eastAsia="Arial" w:hAnsi="Arial" w:cs="Arial"/>
        </w:rPr>
        <w:t>Z praxe lze konstatovat, že samotná existence povinností vyplývajících z </w:t>
      </w:r>
      <w:r w:rsidR="00786F2B" w:rsidRPr="00F15C89">
        <w:rPr>
          <w:rFonts w:ascii="Arial" w:eastAsia="Arial" w:hAnsi="Arial" w:cs="Arial"/>
        </w:rPr>
        <w:t>pracovně</w:t>
      </w:r>
      <w:r w:rsidRPr="00F15C89">
        <w:rPr>
          <w:rFonts w:ascii="Arial" w:eastAsia="Arial" w:hAnsi="Arial" w:cs="Arial"/>
        </w:rPr>
        <w:t xml:space="preserve">právních předpisů nevede k jejich plnému dodržování. </w:t>
      </w:r>
      <w:r w:rsidRPr="00F15C89">
        <w:rPr>
          <w:rFonts w:ascii="Arial" w:hAnsi="Arial" w:cs="Arial"/>
        </w:rPr>
        <w:t xml:space="preserve">Je proto žádoucí využít Minimálních standardů OVZ obdobně jako u veřejných zakázek na zajištění služeb ostrahy nebo úklidu, jako nástroje veřejné správy pro dodržování pracovněprávních předpisů, legálního zaměstnávání (všichni pracovníci na stavbě musí mít povolení k pobytu v ČR a musí být vedeni v příslušných registrech) a předpisů BOZP při realizaci veřejných zakázek. Cílem je prostřednictvím OVZ podpořit, aby na stavbách realizovaných za veřejné prostředky </w:t>
      </w:r>
      <w:r w:rsidR="006520DB" w:rsidRPr="00F15C89">
        <w:rPr>
          <w:rFonts w:ascii="Arial" w:hAnsi="Arial" w:cs="Arial"/>
        </w:rPr>
        <w:t>nedocházelo</w:t>
      </w:r>
      <w:r w:rsidRPr="00F15C89">
        <w:rPr>
          <w:rFonts w:ascii="Arial" w:hAnsi="Arial" w:cs="Arial"/>
        </w:rPr>
        <w:t> </w:t>
      </w:r>
      <w:r w:rsidR="006520DB" w:rsidRPr="00F15C89">
        <w:rPr>
          <w:rFonts w:ascii="Arial" w:hAnsi="Arial" w:cs="Arial"/>
        </w:rPr>
        <w:t xml:space="preserve">k </w:t>
      </w:r>
      <w:r w:rsidRPr="00F15C89">
        <w:rPr>
          <w:rFonts w:ascii="Arial" w:hAnsi="Arial" w:cs="Arial"/>
        </w:rPr>
        <w:t>negativním jevům, které mohou mít i vliv na kvalitu výsledného plnění.</w:t>
      </w:r>
    </w:p>
    <w:p w14:paraId="7D51D166" w14:textId="77777777" w:rsidR="00F13BB9" w:rsidRPr="00F15C89" w:rsidRDefault="00F13BB9" w:rsidP="00F35517">
      <w:pPr>
        <w:spacing w:after="120" w:line="240" w:lineRule="auto"/>
        <w:jc w:val="both"/>
        <w:rPr>
          <w:rFonts w:ascii="Arial" w:hAnsi="Arial" w:cs="Arial"/>
        </w:rPr>
      </w:pPr>
    </w:p>
    <w:p w14:paraId="0AB78DF4" w14:textId="1B062AE7" w:rsidR="002536DA" w:rsidRPr="00F15C89" w:rsidRDefault="002536DA" w:rsidP="00F35517">
      <w:pPr>
        <w:pStyle w:val="Odstavecseseznamem"/>
        <w:numPr>
          <w:ilvl w:val="0"/>
          <w:numId w:val="3"/>
        </w:numPr>
        <w:spacing w:after="0" w:line="240" w:lineRule="auto"/>
        <w:ind w:left="426" w:hanging="426"/>
        <w:jc w:val="both"/>
        <w:rPr>
          <w:rFonts w:ascii="Arial" w:hAnsi="Arial" w:cs="Arial"/>
          <w:color w:val="000000" w:themeColor="text1"/>
        </w:rPr>
      </w:pPr>
      <w:r w:rsidRPr="00F15C89">
        <w:rPr>
          <w:rFonts w:ascii="Arial" w:hAnsi="Arial" w:cs="Arial"/>
          <w:color w:val="000000" w:themeColor="text1"/>
        </w:rPr>
        <w:t xml:space="preserve">Férové podmínky v dodavatelském řetězci </w:t>
      </w:r>
      <w:r w:rsidRPr="00F15C89">
        <w:rPr>
          <w:rFonts w:ascii="Arial" w:eastAsia="Calibri" w:hAnsi="Arial" w:cs="Arial"/>
          <w:color w:val="000000" w:themeColor="text1"/>
        </w:rPr>
        <w:t xml:space="preserve">ve vztahu k zajištění včasných plateb poddodavatelům </w:t>
      </w:r>
    </w:p>
    <w:p w14:paraId="3ECD90E6" w14:textId="77777777" w:rsidR="002536DA" w:rsidRPr="00F15C89" w:rsidRDefault="002536DA" w:rsidP="00F35517">
      <w:pPr>
        <w:pStyle w:val="Odstavecseseznamem"/>
        <w:numPr>
          <w:ilvl w:val="0"/>
          <w:numId w:val="3"/>
        </w:numPr>
        <w:spacing w:after="0" w:line="240" w:lineRule="auto"/>
        <w:ind w:left="426" w:hanging="426"/>
        <w:jc w:val="both"/>
        <w:rPr>
          <w:rStyle w:val="normaltextrun"/>
          <w:rFonts w:ascii="Arial" w:hAnsi="Arial" w:cs="Arial"/>
          <w:color w:val="000000" w:themeColor="text1"/>
        </w:rPr>
      </w:pPr>
      <w:r w:rsidRPr="00F15C89">
        <w:rPr>
          <w:rFonts w:ascii="Arial" w:hAnsi="Arial" w:cs="Arial"/>
          <w:color w:val="000000" w:themeColor="text1"/>
        </w:rPr>
        <w:t>Podpora cashflow do poddodavatelského řetězce</w:t>
      </w:r>
    </w:p>
    <w:p w14:paraId="46DB239A" w14:textId="5578F828" w:rsidR="00F13BB9" w:rsidRPr="00F15C89" w:rsidRDefault="0026469B" w:rsidP="00331251">
      <w:pPr>
        <w:spacing w:after="0" w:line="240" w:lineRule="auto"/>
        <w:ind w:firstLine="426"/>
        <w:jc w:val="both"/>
        <w:rPr>
          <w:rFonts w:ascii="Arial" w:eastAsia="Arial" w:hAnsi="Arial" w:cs="Arial"/>
        </w:rPr>
      </w:pPr>
      <w:r w:rsidRPr="00F15C89">
        <w:rPr>
          <w:rFonts w:ascii="Arial" w:hAnsi="Arial" w:cs="Arial"/>
        </w:rPr>
        <w:t xml:space="preserve">Tyto standardy </w:t>
      </w:r>
      <w:r w:rsidR="00F13BB9" w:rsidRPr="00F15C89">
        <w:rPr>
          <w:rFonts w:ascii="Arial" w:hAnsi="Arial" w:cs="Arial"/>
        </w:rPr>
        <w:t>podpo</w:t>
      </w:r>
      <w:r w:rsidRPr="00F15C89">
        <w:rPr>
          <w:rFonts w:ascii="Arial" w:hAnsi="Arial" w:cs="Arial"/>
        </w:rPr>
        <w:t xml:space="preserve">ří </w:t>
      </w:r>
      <w:r w:rsidR="00BA5073" w:rsidRPr="00F15C89">
        <w:rPr>
          <w:rFonts w:ascii="Arial" w:hAnsi="Arial" w:cs="Arial"/>
        </w:rPr>
        <w:t xml:space="preserve">férové </w:t>
      </w:r>
      <w:r w:rsidRPr="00F15C89">
        <w:rPr>
          <w:rFonts w:ascii="Arial" w:hAnsi="Arial" w:cs="Arial"/>
        </w:rPr>
        <w:t>zapojení</w:t>
      </w:r>
      <w:r w:rsidR="00F13BB9" w:rsidRPr="00F15C89">
        <w:rPr>
          <w:rFonts w:ascii="Arial" w:hAnsi="Arial" w:cs="Arial"/>
        </w:rPr>
        <w:t xml:space="preserve"> malých a středních podniků (a obecně podniků v poddodavatelském řetězci)</w:t>
      </w:r>
      <w:r w:rsidR="00BA5073" w:rsidRPr="00F15C89">
        <w:rPr>
          <w:rFonts w:ascii="Arial" w:hAnsi="Arial" w:cs="Arial"/>
        </w:rPr>
        <w:t xml:space="preserve"> </w:t>
      </w:r>
      <w:r w:rsidR="00610DAE" w:rsidRPr="00F15C89">
        <w:rPr>
          <w:rFonts w:ascii="Arial" w:hAnsi="Arial" w:cs="Arial"/>
        </w:rPr>
        <w:t>do plnění veřejných zakázek</w:t>
      </w:r>
      <w:r w:rsidR="00F13BB9" w:rsidRPr="00F15C89">
        <w:rPr>
          <w:rFonts w:ascii="Arial" w:hAnsi="Arial" w:cs="Arial"/>
        </w:rPr>
        <w:t>. Přispěje k tomu podpora cashflow do</w:t>
      </w:r>
      <w:r w:rsidR="00676798" w:rsidRPr="00F15C89">
        <w:rPr>
          <w:rFonts w:ascii="Arial" w:hAnsi="Arial" w:cs="Arial"/>
        </w:rPr>
        <w:t> </w:t>
      </w:r>
      <w:r w:rsidR="00F13BB9" w:rsidRPr="00F15C89">
        <w:rPr>
          <w:rFonts w:ascii="Arial" w:hAnsi="Arial" w:cs="Arial"/>
        </w:rPr>
        <w:t>poddodavatelského řetězce (povinnost zadavatelů stanovit v</w:t>
      </w:r>
      <w:r w:rsidR="00FD3B18" w:rsidRPr="00F15C89">
        <w:rPr>
          <w:rFonts w:ascii="Arial" w:hAnsi="Arial" w:cs="Arial"/>
        </w:rPr>
        <w:t>e</w:t>
      </w:r>
      <w:r w:rsidR="00F13BB9" w:rsidRPr="00F15C89">
        <w:rPr>
          <w:rFonts w:ascii="Arial" w:hAnsi="Arial" w:cs="Arial"/>
        </w:rPr>
        <w:t xml:space="preserve"> smlouvách </w:t>
      </w:r>
      <w:r w:rsidR="00FD3B18" w:rsidRPr="00F15C89">
        <w:rPr>
          <w:rFonts w:ascii="Arial" w:hAnsi="Arial" w:cs="Arial"/>
        </w:rPr>
        <w:t>s</w:t>
      </w:r>
      <w:r w:rsidR="00610DAE" w:rsidRPr="00F15C89">
        <w:rPr>
          <w:rFonts w:ascii="Arial" w:hAnsi="Arial" w:cs="Arial"/>
        </w:rPr>
        <w:t> vybranými (</w:t>
      </w:r>
      <w:r w:rsidR="00FD3B18" w:rsidRPr="00F15C89">
        <w:rPr>
          <w:rFonts w:ascii="Arial" w:hAnsi="Arial" w:cs="Arial"/>
        </w:rPr>
        <w:t>generálními</w:t>
      </w:r>
      <w:r w:rsidR="00610DAE" w:rsidRPr="00F15C89">
        <w:rPr>
          <w:rFonts w:ascii="Arial" w:hAnsi="Arial" w:cs="Arial"/>
        </w:rPr>
        <w:t>)</w:t>
      </w:r>
      <w:r w:rsidR="00FD3B18" w:rsidRPr="00F15C89">
        <w:rPr>
          <w:rFonts w:ascii="Arial" w:hAnsi="Arial" w:cs="Arial"/>
        </w:rPr>
        <w:t xml:space="preserve"> dodavateli </w:t>
      </w:r>
      <w:r w:rsidR="00F13BB9" w:rsidRPr="00F15C89">
        <w:rPr>
          <w:rFonts w:ascii="Arial" w:hAnsi="Arial" w:cs="Arial"/>
        </w:rPr>
        <w:t>splatnost v délce maximálně 30</w:t>
      </w:r>
      <w:r w:rsidR="003C38E9" w:rsidRPr="00F15C89">
        <w:rPr>
          <w:rFonts w:ascii="Arial" w:hAnsi="Arial" w:cs="Arial"/>
        </w:rPr>
        <w:t> </w:t>
      </w:r>
      <w:r w:rsidR="00F13BB9" w:rsidRPr="00F15C89">
        <w:rPr>
          <w:rFonts w:ascii="Arial" w:hAnsi="Arial" w:cs="Arial"/>
        </w:rPr>
        <w:t>kalendářních dnů</w:t>
      </w:r>
      <w:r w:rsidR="2E222401" w:rsidRPr="00F15C89">
        <w:rPr>
          <w:rFonts w:ascii="Arial" w:hAnsi="Arial" w:cs="Arial"/>
        </w:rPr>
        <w:t>; tuto lhůtu bude možné přiměřeně prodloužit, pokud je poskytnutí finančních prostředků k úhradě faktury podmíněnou souhlasem třetí osoby – typicky u dotací</w:t>
      </w:r>
      <w:r w:rsidR="00F13BB9" w:rsidRPr="00F15C89">
        <w:rPr>
          <w:rFonts w:ascii="Arial" w:hAnsi="Arial" w:cs="Arial"/>
        </w:rPr>
        <w:t>)</w:t>
      </w:r>
      <w:r w:rsidR="00691215" w:rsidRPr="00F15C89">
        <w:rPr>
          <w:rFonts w:ascii="Arial" w:hAnsi="Arial" w:cs="Arial"/>
        </w:rPr>
        <w:t xml:space="preserve"> a</w:t>
      </w:r>
      <w:r w:rsidR="00F13BB9" w:rsidRPr="00F15C89">
        <w:rPr>
          <w:rFonts w:ascii="Arial" w:hAnsi="Arial" w:cs="Arial"/>
        </w:rPr>
        <w:t xml:space="preserve"> nastavení férových podmínek dále </w:t>
      </w:r>
      <w:r w:rsidR="00253421">
        <w:rPr>
          <w:rFonts w:ascii="Arial" w:hAnsi="Arial" w:cs="Arial"/>
        </w:rPr>
        <w:t> </w:t>
      </w:r>
      <w:r w:rsidR="00253421" w:rsidRPr="00F15C89">
        <w:rPr>
          <w:rFonts w:ascii="Arial" w:hAnsi="Arial" w:cs="Arial"/>
        </w:rPr>
        <w:t>v</w:t>
      </w:r>
      <w:r w:rsidR="00253421">
        <w:rPr>
          <w:rFonts w:ascii="Arial" w:hAnsi="Arial" w:cs="Arial"/>
        </w:rPr>
        <w:t> </w:t>
      </w:r>
      <w:r w:rsidR="00F13BB9" w:rsidRPr="00F15C89">
        <w:rPr>
          <w:rFonts w:ascii="Arial" w:hAnsi="Arial" w:cs="Arial"/>
        </w:rPr>
        <w:t>poddodavatelském řetězci ve vztahu k zajištění včasných plateb. Délka splatnosti přímým poddodavatelům generálního dodavatele tak nebude delší než výše stanovená délka splatnosti zadavatele vůči generálnímu dodavateli, tedy maximálně 30 kalendářních dnů</w:t>
      </w:r>
      <w:r w:rsidR="20A2D1FE" w:rsidRPr="00F15C89">
        <w:rPr>
          <w:rFonts w:ascii="Arial" w:hAnsi="Arial" w:cs="Arial"/>
        </w:rPr>
        <w:t xml:space="preserve"> (</w:t>
      </w:r>
      <w:r w:rsidR="00253421" w:rsidRPr="00F15C89">
        <w:rPr>
          <w:rFonts w:ascii="Arial" w:hAnsi="Arial" w:cs="Arial"/>
        </w:rPr>
        <w:t>s</w:t>
      </w:r>
      <w:r w:rsidR="00253421">
        <w:rPr>
          <w:rFonts w:ascii="Arial" w:hAnsi="Arial" w:cs="Arial"/>
        </w:rPr>
        <w:t> </w:t>
      </w:r>
      <w:r w:rsidR="20A2D1FE" w:rsidRPr="00F15C89">
        <w:rPr>
          <w:rFonts w:ascii="Arial" w:hAnsi="Arial" w:cs="Arial"/>
        </w:rPr>
        <w:t xml:space="preserve">možný prodloužením v případě, kdy je </w:t>
      </w:r>
      <w:r w:rsidR="007C2EED" w:rsidRPr="00F15C89">
        <w:rPr>
          <w:rFonts w:ascii="Arial" w:hAnsi="Arial" w:cs="Arial"/>
        </w:rPr>
        <w:t>poskytnutí</w:t>
      </w:r>
      <w:r w:rsidR="20A2D1FE" w:rsidRPr="00F15C89">
        <w:rPr>
          <w:rFonts w:ascii="Arial" w:hAnsi="Arial" w:cs="Arial"/>
        </w:rPr>
        <w:t xml:space="preserve"> finančních prostředků podmíněno souhlasem třetí osoby)</w:t>
      </w:r>
      <w:r w:rsidR="00F13BB9" w:rsidRPr="00F15C89">
        <w:rPr>
          <w:rFonts w:ascii="Arial" w:hAnsi="Arial" w:cs="Arial"/>
        </w:rPr>
        <w:t>. Generální dodavatel bude mít také povinnost zajistit, aby stejná délka splatnosti byla přenesena do celého poddodavatelského řetězce, protože p</w:t>
      </w:r>
      <w:r w:rsidR="00F13BB9" w:rsidRPr="00F15C89">
        <w:rPr>
          <w:rFonts w:ascii="Arial" w:eastAsia="Arial" w:hAnsi="Arial" w:cs="Arial"/>
        </w:rPr>
        <w:t xml:space="preserve">ozdní platby v poddodavatelském řetězci mohou mít zásadní dopad na cash flow poddodavatelů, což může představovat pro menší a střední podniky, jež typicky vystupují v poddodavatelské roli, </w:t>
      </w:r>
      <w:r w:rsidR="00FD3B18" w:rsidRPr="00F15C89">
        <w:rPr>
          <w:rFonts w:ascii="Arial" w:eastAsia="Arial" w:hAnsi="Arial" w:cs="Arial"/>
        </w:rPr>
        <w:t xml:space="preserve">existenční </w:t>
      </w:r>
      <w:r w:rsidR="00F13BB9" w:rsidRPr="00F15C89">
        <w:rPr>
          <w:rFonts w:ascii="Arial" w:eastAsia="Arial" w:hAnsi="Arial" w:cs="Arial"/>
        </w:rPr>
        <w:t xml:space="preserve">riziko. Tyto podniky typicky nemají velké finanční rezervy, mívají i složitější přístup k levnému financování a nemohou tak dlouhodobě strpět situaci, kdy jim generální dodavatel platí se zpožděním. </w:t>
      </w:r>
    </w:p>
    <w:p w14:paraId="5FF19400" w14:textId="29694463" w:rsidR="00F13BB9" w:rsidRPr="00F15C89" w:rsidRDefault="00F13BB9" w:rsidP="0063121C">
      <w:pPr>
        <w:spacing w:after="0" w:line="240" w:lineRule="auto"/>
        <w:ind w:firstLine="426"/>
        <w:jc w:val="both"/>
        <w:rPr>
          <w:rFonts w:ascii="Arial" w:eastAsia="Arial" w:hAnsi="Arial" w:cs="Arial"/>
        </w:rPr>
      </w:pPr>
      <w:r w:rsidRPr="00F15C89">
        <w:rPr>
          <w:rFonts w:ascii="Arial" w:eastAsia="Arial" w:hAnsi="Arial" w:cs="Arial"/>
        </w:rPr>
        <w:t>Problematiku pozdních plateb v poddodavatelském řetězci podtrhují i statistická data. Například v roce 2022 evidovaly podle společnosti CEEC Research s.r.o. stavební společnosti 20 % pohledávek po splatnosti, z nichž 10 % bylo po splatnosti déle jak 30</w:t>
      </w:r>
      <w:r w:rsidR="003C38E9" w:rsidRPr="00F15C89">
        <w:rPr>
          <w:rFonts w:ascii="Arial" w:eastAsia="Arial" w:hAnsi="Arial" w:cs="Arial"/>
        </w:rPr>
        <w:t> </w:t>
      </w:r>
      <w:r w:rsidRPr="00F15C89">
        <w:rPr>
          <w:rFonts w:ascii="Arial" w:eastAsia="Arial" w:hAnsi="Arial" w:cs="Arial"/>
        </w:rPr>
        <w:t>dnů a s nejistou vyhlídkou jejich splnění.</w:t>
      </w:r>
    </w:p>
    <w:p w14:paraId="363F1C75" w14:textId="77777777" w:rsidR="00194EC0" w:rsidRPr="00F15C89" w:rsidRDefault="00194EC0" w:rsidP="003D0438">
      <w:pPr>
        <w:spacing w:after="0" w:line="240" w:lineRule="auto"/>
        <w:jc w:val="both"/>
        <w:rPr>
          <w:rFonts w:ascii="Arial" w:eastAsia="Arial" w:hAnsi="Arial" w:cs="Arial"/>
        </w:rPr>
      </w:pPr>
    </w:p>
    <w:p w14:paraId="2DDC9709" w14:textId="1CD4F132" w:rsidR="00960493" w:rsidRPr="00F15C89" w:rsidRDefault="00960493" w:rsidP="000610F8">
      <w:pPr>
        <w:spacing w:after="0" w:line="240" w:lineRule="auto"/>
        <w:ind w:firstLine="567"/>
        <w:jc w:val="both"/>
        <w:rPr>
          <w:rFonts w:ascii="Arial" w:hAnsi="Arial" w:cs="Arial"/>
        </w:rPr>
      </w:pPr>
      <w:r w:rsidRPr="00F15C89">
        <w:rPr>
          <w:rFonts w:ascii="Arial" w:hAnsi="Arial" w:cs="Arial"/>
        </w:rPr>
        <w:t xml:space="preserve">Stěžejní roli při uvádění Minimálních standardů OVZ do praxe, jejich proškolení </w:t>
      </w:r>
      <w:r w:rsidR="00A23AF9" w:rsidRPr="00F15C89">
        <w:rPr>
          <w:rFonts w:ascii="Arial" w:hAnsi="Arial" w:cs="Arial"/>
        </w:rPr>
        <w:t>a</w:t>
      </w:r>
      <w:r w:rsidR="00A23AF9">
        <w:rPr>
          <w:rFonts w:ascii="Arial" w:hAnsi="Arial" w:cs="Arial"/>
        </w:rPr>
        <w:t> </w:t>
      </w:r>
      <w:r w:rsidRPr="00F15C89">
        <w:rPr>
          <w:rFonts w:ascii="Arial" w:hAnsi="Arial" w:cs="Arial"/>
        </w:rPr>
        <w:t>aktualizaci, bude mít Ministerstvo pro místní rozvoj coby ústřední správní orgán ve věcech investiční politiky včetně zákona o zadávání veřejných zakázek, zahrnující oblasti environmentálně a sociálně odpovědného veřejného zadávání</w:t>
      </w:r>
      <w:r w:rsidR="00AC3ABD" w:rsidRPr="00F15C89">
        <w:rPr>
          <w:rFonts w:ascii="Arial" w:hAnsi="Arial" w:cs="Arial"/>
        </w:rPr>
        <w:t xml:space="preserve">, nicméně smysl Minimálních standardů OVZ spočívá právě v jejich </w:t>
      </w:r>
      <w:r w:rsidR="008113DB" w:rsidRPr="00F15C89">
        <w:rPr>
          <w:rFonts w:ascii="Arial" w:hAnsi="Arial" w:cs="Arial"/>
        </w:rPr>
        <w:t xml:space="preserve">charakteru (harmonizovaná databáze minimální úrovně naplnění § 6 odst. 4 ZZVZ) a jejich </w:t>
      </w:r>
      <w:r w:rsidR="00AC3ABD" w:rsidRPr="00F15C89">
        <w:rPr>
          <w:rFonts w:ascii="Arial" w:hAnsi="Arial" w:cs="Arial"/>
        </w:rPr>
        <w:t xml:space="preserve">standardní </w:t>
      </w:r>
      <w:r w:rsidR="008113DB" w:rsidRPr="00F15C89">
        <w:rPr>
          <w:rFonts w:ascii="Arial" w:hAnsi="Arial" w:cs="Arial"/>
        </w:rPr>
        <w:t xml:space="preserve">implementaci státní správu a </w:t>
      </w:r>
      <w:r w:rsidR="003D4823" w:rsidRPr="00F15C89">
        <w:rPr>
          <w:rFonts w:ascii="Arial" w:hAnsi="Arial" w:cs="Arial"/>
        </w:rPr>
        <w:t>na základě doporučení</w:t>
      </w:r>
      <w:r w:rsidR="0035468C" w:rsidRPr="00F15C89">
        <w:rPr>
          <w:rFonts w:ascii="Arial" w:hAnsi="Arial" w:cs="Arial"/>
        </w:rPr>
        <w:t>, podle možností, i samosprávou</w:t>
      </w:r>
      <w:r w:rsidRPr="00F15C89">
        <w:rPr>
          <w:rFonts w:ascii="Arial" w:hAnsi="Arial" w:cs="Arial"/>
        </w:rPr>
        <w:t>.</w:t>
      </w:r>
      <w:r w:rsidR="002A045C" w:rsidRPr="00F15C89">
        <w:rPr>
          <w:rFonts w:ascii="Arial" w:hAnsi="Arial" w:cs="Arial"/>
        </w:rPr>
        <w:t xml:space="preserve"> </w:t>
      </w:r>
      <w:r w:rsidRPr="00F15C89">
        <w:rPr>
          <w:rFonts w:ascii="Arial" w:hAnsi="Arial" w:cs="Arial"/>
        </w:rPr>
        <w:t> </w:t>
      </w:r>
    </w:p>
    <w:p w14:paraId="59874E1B" w14:textId="6A2418FF" w:rsidR="00F13BB9" w:rsidRPr="00F15C89" w:rsidRDefault="00F13BB9" w:rsidP="00F00B4E">
      <w:pPr>
        <w:pStyle w:val="Nadpis1"/>
        <w:rPr>
          <w:rFonts w:cs="Arial"/>
          <w:b w:val="0"/>
          <w:bCs/>
          <w:sz w:val="22"/>
          <w:szCs w:val="22"/>
        </w:rPr>
      </w:pPr>
      <w:bookmarkStart w:id="20" w:name="_Toc198290970"/>
      <w:r w:rsidRPr="00F15C89">
        <w:rPr>
          <w:rFonts w:cs="Arial"/>
          <w:sz w:val="22"/>
          <w:szCs w:val="22"/>
        </w:rPr>
        <w:lastRenderedPageBreak/>
        <w:t xml:space="preserve">Sektorální předpisy </w:t>
      </w:r>
      <w:r w:rsidR="00CD7AFB" w:rsidRPr="00F15C89">
        <w:rPr>
          <w:rFonts w:cs="Arial"/>
          <w:sz w:val="22"/>
          <w:szCs w:val="22"/>
        </w:rPr>
        <w:t xml:space="preserve">EU </w:t>
      </w:r>
      <w:r w:rsidRPr="00F15C89">
        <w:rPr>
          <w:rFonts w:cs="Arial"/>
          <w:sz w:val="22"/>
          <w:szCs w:val="22"/>
        </w:rPr>
        <w:t>s přesahem do veřejných zakázek</w:t>
      </w:r>
      <w:r w:rsidR="009469A5" w:rsidRPr="00F15C89">
        <w:rPr>
          <w:rStyle w:val="Znakapoznpodarou"/>
          <w:rFonts w:cs="Arial"/>
          <w:b w:val="0"/>
          <w:sz w:val="22"/>
          <w:szCs w:val="22"/>
          <w:vertAlign w:val="superscript"/>
        </w:rPr>
        <w:footnoteReference w:id="41"/>
      </w:r>
      <w:bookmarkEnd w:id="20"/>
    </w:p>
    <w:p w14:paraId="36CC4324" w14:textId="77777777" w:rsidR="00F13BB9" w:rsidRPr="00F15C89" w:rsidRDefault="00F13BB9" w:rsidP="00F35517">
      <w:pPr>
        <w:spacing w:after="0" w:line="240" w:lineRule="auto"/>
        <w:jc w:val="both"/>
        <w:rPr>
          <w:rFonts w:ascii="Arial" w:hAnsi="Arial" w:cs="Arial"/>
          <w:b/>
          <w:bCs/>
        </w:rPr>
      </w:pPr>
    </w:p>
    <w:p w14:paraId="5538940B" w14:textId="77777777" w:rsidR="00F13BB9" w:rsidRPr="00F15C89" w:rsidRDefault="00F13BB9" w:rsidP="00F35517">
      <w:pPr>
        <w:spacing w:after="0" w:line="240" w:lineRule="auto"/>
        <w:jc w:val="both"/>
        <w:rPr>
          <w:rFonts w:ascii="Arial" w:hAnsi="Arial" w:cs="Arial"/>
        </w:rPr>
      </w:pPr>
      <w:r w:rsidRPr="00F15C89">
        <w:rPr>
          <w:rFonts w:ascii="Arial" w:hAnsi="Arial" w:cs="Arial"/>
        </w:rPr>
        <w:t>Regulace poptávky - čistá mobilita </w:t>
      </w:r>
    </w:p>
    <w:p w14:paraId="76944D46" w14:textId="20A92260" w:rsidR="00F13BB9" w:rsidRPr="00F15C89" w:rsidRDefault="00F13BB9" w:rsidP="00F35517">
      <w:pPr>
        <w:numPr>
          <w:ilvl w:val="0"/>
          <w:numId w:val="8"/>
        </w:numPr>
        <w:spacing w:after="0" w:line="240" w:lineRule="auto"/>
        <w:jc w:val="both"/>
        <w:rPr>
          <w:rFonts w:ascii="Arial" w:hAnsi="Arial" w:cs="Arial"/>
        </w:rPr>
      </w:pPr>
      <w:r w:rsidRPr="00F15C89">
        <w:rPr>
          <w:rFonts w:ascii="Arial" w:hAnsi="Arial" w:cs="Arial"/>
        </w:rPr>
        <w:t>Směrnice 2009/33/</w:t>
      </w:r>
      <w:r w:rsidR="00552CD6" w:rsidRPr="00F15C89">
        <w:rPr>
          <w:rFonts w:ascii="Arial" w:hAnsi="Arial" w:cs="Arial"/>
        </w:rPr>
        <w:t xml:space="preserve">ES o podpoře čistých silničních vozidel na podporu nízkoemisní mobility, </w:t>
      </w:r>
      <w:r w:rsidRPr="00F15C89">
        <w:rPr>
          <w:rFonts w:ascii="Arial" w:hAnsi="Arial" w:cs="Arial"/>
        </w:rPr>
        <w:t>ve znění směrnice 2019/1161 </w:t>
      </w:r>
    </w:p>
    <w:p w14:paraId="32656A1F" w14:textId="13988EED" w:rsidR="00F13BB9" w:rsidRPr="00F15C89" w:rsidRDefault="00F13BB9" w:rsidP="00F35517">
      <w:pPr>
        <w:numPr>
          <w:ilvl w:val="0"/>
          <w:numId w:val="9"/>
        </w:numPr>
        <w:spacing w:after="0" w:line="240" w:lineRule="auto"/>
        <w:jc w:val="both"/>
        <w:rPr>
          <w:rFonts w:ascii="Arial" w:hAnsi="Arial" w:cs="Arial"/>
        </w:rPr>
      </w:pPr>
      <w:r w:rsidRPr="00F15C89">
        <w:rPr>
          <w:rFonts w:ascii="Arial" w:hAnsi="Arial" w:cs="Arial"/>
        </w:rPr>
        <w:t xml:space="preserve">Nařízení 2019/1242 </w:t>
      </w:r>
      <w:r w:rsidR="00552CD6" w:rsidRPr="00F15C89">
        <w:rPr>
          <w:rFonts w:ascii="Arial" w:hAnsi="Arial" w:cs="Arial"/>
        </w:rPr>
        <w:t>kterým se stanoví výkonnostní normy pro emise CO</w:t>
      </w:r>
      <w:r w:rsidR="00552CD6" w:rsidRPr="00F15C89">
        <w:rPr>
          <w:rFonts w:ascii="Arial" w:hAnsi="Arial" w:cs="Arial"/>
          <w:vertAlign w:val="subscript"/>
        </w:rPr>
        <w:t>2</w:t>
      </w:r>
      <w:r w:rsidR="00552CD6" w:rsidRPr="00F15C89">
        <w:rPr>
          <w:rFonts w:ascii="Arial" w:hAnsi="Arial" w:cs="Arial"/>
        </w:rPr>
        <w:t xml:space="preserve"> pro nová těžká vozidla </w:t>
      </w:r>
      <w:r w:rsidRPr="00F15C89">
        <w:rPr>
          <w:rFonts w:ascii="Arial" w:hAnsi="Arial" w:cs="Arial"/>
        </w:rPr>
        <w:t xml:space="preserve"> – regulace nákupů </w:t>
      </w:r>
      <w:r w:rsidR="00552CD6" w:rsidRPr="00F15C89">
        <w:rPr>
          <w:rFonts w:ascii="Arial" w:hAnsi="Arial" w:cs="Arial"/>
        </w:rPr>
        <w:t xml:space="preserve">nových </w:t>
      </w:r>
      <w:r w:rsidRPr="00F15C89">
        <w:rPr>
          <w:rFonts w:ascii="Arial" w:hAnsi="Arial" w:cs="Arial"/>
        </w:rPr>
        <w:t>městských autobusů </w:t>
      </w:r>
    </w:p>
    <w:p w14:paraId="77A4EC1E" w14:textId="77777777" w:rsidR="00F13BB9" w:rsidRPr="00F15C89" w:rsidRDefault="00F13BB9" w:rsidP="00F35517">
      <w:pPr>
        <w:spacing w:after="0" w:line="240" w:lineRule="auto"/>
        <w:ind w:left="720"/>
        <w:jc w:val="both"/>
        <w:rPr>
          <w:rFonts w:ascii="Arial" w:hAnsi="Arial" w:cs="Arial"/>
        </w:rPr>
      </w:pPr>
    </w:p>
    <w:p w14:paraId="0D033855" w14:textId="77777777" w:rsidR="00F13BB9" w:rsidRPr="00F15C89" w:rsidRDefault="00F13BB9" w:rsidP="00F35517">
      <w:pPr>
        <w:spacing w:after="0" w:line="240" w:lineRule="auto"/>
        <w:jc w:val="both"/>
        <w:rPr>
          <w:rFonts w:ascii="Arial" w:hAnsi="Arial" w:cs="Arial"/>
        </w:rPr>
      </w:pPr>
      <w:r w:rsidRPr="00F15C89">
        <w:rPr>
          <w:rFonts w:ascii="Arial" w:hAnsi="Arial" w:cs="Arial"/>
        </w:rPr>
        <w:t>Energetická účinnost </w:t>
      </w:r>
    </w:p>
    <w:p w14:paraId="4F94CB0D" w14:textId="77777777" w:rsidR="00F13BB9" w:rsidRPr="00F15C89" w:rsidRDefault="00F13BB9" w:rsidP="00F35517">
      <w:pPr>
        <w:numPr>
          <w:ilvl w:val="0"/>
          <w:numId w:val="10"/>
        </w:numPr>
        <w:spacing w:after="0" w:line="240" w:lineRule="auto"/>
        <w:jc w:val="both"/>
        <w:rPr>
          <w:rFonts w:ascii="Arial" w:hAnsi="Arial" w:cs="Arial"/>
        </w:rPr>
      </w:pPr>
      <w:r w:rsidRPr="00F15C89">
        <w:rPr>
          <w:rFonts w:ascii="Arial" w:hAnsi="Arial" w:cs="Arial"/>
        </w:rPr>
        <w:t>Směrnice 2023/1791 o energetické účinnosti a o změně nařízení (EU) 2023/955 </w:t>
      </w:r>
    </w:p>
    <w:p w14:paraId="1A3E9814" w14:textId="77777777" w:rsidR="00F13BB9" w:rsidRPr="00F15C89" w:rsidRDefault="00F13BB9" w:rsidP="00F35517">
      <w:pPr>
        <w:numPr>
          <w:ilvl w:val="0"/>
          <w:numId w:val="11"/>
        </w:numPr>
        <w:spacing w:after="0" w:line="240" w:lineRule="auto"/>
        <w:jc w:val="both"/>
        <w:rPr>
          <w:rFonts w:ascii="Arial" w:hAnsi="Arial" w:cs="Arial"/>
        </w:rPr>
      </w:pPr>
      <w:r w:rsidRPr="00F15C89">
        <w:rPr>
          <w:rFonts w:ascii="Arial" w:hAnsi="Arial" w:cs="Arial"/>
        </w:rPr>
        <w:t>Směrnice 2024/1275 o energetické náročnosti budov  </w:t>
      </w:r>
    </w:p>
    <w:p w14:paraId="6E5CEF62" w14:textId="77777777" w:rsidR="00F13BB9" w:rsidRPr="00F15C89" w:rsidRDefault="00F13BB9" w:rsidP="00F35517">
      <w:pPr>
        <w:spacing w:after="0" w:line="240" w:lineRule="auto"/>
        <w:ind w:left="720"/>
        <w:jc w:val="both"/>
        <w:rPr>
          <w:rFonts w:ascii="Arial" w:hAnsi="Arial" w:cs="Arial"/>
        </w:rPr>
      </w:pPr>
    </w:p>
    <w:p w14:paraId="7E5884AC" w14:textId="77777777" w:rsidR="00F13BB9" w:rsidRPr="00F15C89" w:rsidRDefault="00F13BB9" w:rsidP="00F35517">
      <w:pPr>
        <w:spacing w:after="0" w:line="240" w:lineRule="auto"/>
        <w:jc w:val="both"/>
        <w:rPr>
          <w:rFonts w:ascii="Arial" w:hAnsi="Arial" w:cs="Arial"/>
        </w:rPr>
      </w:pPr>
      <w:r w:rsidRPr="00F15C89">
        <w:rPr>
          <w:rFonts w:ascii="Arial" w:hAnsi="Arial" w:cs="Arial"/>
        </w:rPr>
        <w:t>Regulace poptávky - specifické produkty </w:t>
      </w:r>
    </w:p>
    <w:p w14:paraId="1520EA8F" w14:textId="77777777" w:rsidR="00552CD6" w:rsidRPr="00F15C89" w:rsidRDefault="00552CD6" w:rsidP="00552CD6">
      <w:pPr>
        <w:numPr>
          <w:ilvl w:val="0"/>
          <w:numId w:val="12"/>
        </w:numPr>
        <w:spacing w:after="0" w:line="240" w:lineRule="auto"/>
        <w:jc w:val="both"/>
        <w:rPr>
          <w:rFonts w:ascii="Arial" w:hAnsi="Arial" w:cs="Arial"/>
        </w:rPr>
      </w:pPr>
      <w:r w:rsidRPr="00F15C89">
        <w:rPr>
          <w:rFonts w:ascii="Arial" w:hAnsi="Arial" w:cs="Arial"/>
        </w:rPr>
        <w:t>Nařízení 2023/1542 o bateriích a odpadních bateriích </w:t>
      </w:r>
    </w:p>
    <w:p w14:paraId="24E6C747" w14:textId="63BB9016" w:rsidR="00F13BB9" w:rsidRPr="00F15C89" w:rsidRDefault="00F13BB9" w:rsidP="00F35517">
      <w:pPr>
        <w:numPr>
          <w:ilvl w:val="0"/>
          <w:numId w:val="12"/>
        </w:numPr>
        <w:spacing w:after="0" w:line="240" w:lineRule="auto"/>
        <w:jc w:val="both"/>
        <w:rPr>
          <w:rFonts w:ascii="Arial" w:hAnsi="Arial" w:cs="Arial"/>
        </w:rPr>
      </w:pPr>
      <w:r w:rsidRPr="00F15C89">
        <w:rPr>
          <w:rFonts w:ascii="Arial" w:hAnsi="Arial" w:cs="Arial"/>
        </w:rPr>
        <w:t>Nařízení 2024/1735</w:t>
      </w:r>
      <w:r w:rsidR="00552CD6" w:rsidRPr="00F15C89">
        <w:rPr>
          <w:rFonts w:ascii="Arial" w:hAnsi="Arial" w:cs="Arial"/>
        </w:rPr>
        <w:t>, kterým se zřizuje rámec opatření pro posílení evropského ekosystému výroby technologií pro nulové čisté emise</w:t>
      </w:r>
      <w:r w:rsidRPr="00F15C89">
        <w:rPr>
          <w:rFonts w:ascii="Arial" w:hAnsi="Arial" w:cs="Arial"/>
        </w:rPr>
        <w:t xml:space="preserve"> </w:t>
      </w:r>
      <w:r w:rsidR="00552CD6" w:rsidRPr="00F15C89">
        <w:rPr>
          <w:rFonts w:ascii="Arial" w:hAnsi="Arial" w:cs="Arial"/>
        </w:rPr>
        <w:t>(</w:t>
      </w:r>
      <w:r w:rsidRPr="00F15C89">
        <w:rPr>
          <w:rFonts w:ascii="Arial" w:hAnsi="Arial" w:cs="Arial"/>
        </w:rPr>
        <w:t xml:space="preserve">Net Zero Industry Act </w:t>
      </w:r>
      <w:r w:rsidR="00552CD6" w:rsidRPr="00F15C89">
        <w:rPr>
          <w:rFonts w:ascii="Arial" w:hAnsi="Arial" w:cs="Arial"/>
        </w:rPr>
        <w:t xml:space="preserve">- </w:t>
      </w:r>
      <w:r w:rsidRPr="00F15C89">
        <w:rPr>
          <w:rFonts w:ascii="Arial" w:hAnsi="Arial" w:cs="Arial"/>
        </w:rPr>
        <w:t>NZIA) </w:t>
      </w:r>
    </w:p>
    <w:p w14:paraId="3E596E90" w14:textId="77777777" w:rsidR="00F13BB9" w:rsidRPr="00F15C89" w:rsidRDefault="00F13BB9" w:rsidP="00F35517">
      <w:pPr>
        <w:numPr>
          <w:ilvl w:val="0"/>
          <w:numId w:val="14"/>
        </w:numPr>
        <w:spacing w:after="0" w:line="240" w:lineRule="auto"/>
        <w:jc w:val="both"/>
        <w:rPr>
          <w:rFonts w:ascii="Arial" w:hAnsi="Arial" w:cs="Arial"/>
        </w:rPr>
      </w:pPr>
      <w:r w:rsidRPr="00F15C89">
        <w:rPr>
          <w:rFonts w:ascii="Arial" w:hAnsi="Arial" w:cs="Arial"/>
        </w:rPr>
        <w:t>Nařízení 2024/1781 o ekodesignu </w:t>
      </w:r>
    </w:p>
    <w:p w14:paraId="07F36CFF" w14:textId="77777777" w:rsidR="00F13BB9" w:rsidRPr="00F15C89" w:rsidRDefault="00F13BB9" w:rsidP="00F35517">
      <w:pPr>
        <w:spacing w:after="0" w:line="240" w:lineRule="auto"/>
        <w:ind w:left="720"/>
        <w:jc w:val="both"/>
        <w:rPr>
          <w:rFonts w:ascii="Arial" w:hAnsi="Arial" w:cs="Arial"/>
        </w:rPr>
      </w:pPr>
    </w:p>
    <w:p w14:paraId="20A92E95" w14:textId="290D9A8B" w:rsidR="00F13BB9" w:rsidRPr="00F15C89" w:rsidRDefault="00133547" w:rsidP="00F35517">
      <w:pPr>
        <w:spacing w:after="0" w:line="240" w:lineRule="auto"/>
        <w:jc w:val="both"/>
        <w:rPr>
          <w:rFonts w:ascii="Arial" w:hAnsi="Arial" w:cs="Arial"/>
        </w:rPr>
      </w:pPr>
      <w:r w:rsidRPr="00F15C89">
        <w:rPr>
          <w:rFonts w:ascii="Arial" w:hAnsi="Arial" w:cs="Arial"/>
        </w:rPr>
        <w:t>Pracovněprávní podmínky</w:t>
      </w:r>
    </w:p>
    <w:p w14:paraId="5D8C5EC0" w14:textId="77777777" w:rsidR="00CD7AFB" w:rsidRPr="00F15C89" w:rsidRDefault="00CD7AFB" w:rsidP="00CD7AFB">
      <w:pPr>
        <w:numPr>
          <w:ilvl w:val="0"/>
          <w:numId w:val="15"/>
        </w:numPr>
        <w:spacing w:after="0" w:line="240" w:lineRule="auto"/>
        <w:jc w:val="both"/>
        <w:rPr>
          <w:rFonts w:ascii="Arial" w:hAnsi="Arial" w:cs="Arial"/>
        </w:rPr>
      </w:pPr>
      <w:r w:rsidRPr="00F15C89">
        <w:rPr>
          <w:rFonts w:ascii="Arial" w:hAnsi="Arial" w:cs="Arial"/>
        </w:rPr>
        <w:t>Směrnice 2022/2041 o přiměřených minimálních mzdách v Evropské unii </w:t>
      </w:r>
    </w:p>
    <w:p w14:paraId="5D0BDAC1" w14:textId="77777777" w:rsidR="00CD7AFB" w:rsidRPr="00F15C89" w:rsidRDefault="00CD7AFB" w:rsidP="00CD7AFB">
      <w:pPr>
        <w:numPr>
          <w:ilvl w:val="0"/>
          <w:numId w:val="15"/>
        </w:numPr>
        <w:spacing w:after="0" w:line="240" w:lineRule="auto"/>
        <w:jc w:val="both"/>
        <w:rPr>
          <w:rFonts w:ascii="Arial" w:hAnsi="Arial" w:cs="Arial"/>
        </w:rPr>
      </w:pPr>
      <w:r w:rsidRPr="00F15C89">
        <w:rPr>
          <w:rFonts w:ascii="Arial" w:hAnsi="Arial" w:cs="Arial"/>
        </w:rPr>
        <w:t>Směrnice 2022/2381 o zlepšení genderové vyváženosti mezi členy orgánů kotovaných společností (women on board)</w:t>
      </w:r>
    </w:p>
    <w:p w14:paraId="156CC999" w14:textId="09EE8298" w:rsidR="00F13BB9" w:rsidRPr="00F15C89" w:rsidRDefault="00F13BB9" w:rsidP="00F35517">
      <w:pPr>
        <w:numPr>
          <w:ilvl w:val="0"/>
          <w:numId w:val="15"/>
        </w:numPr>
        <w:spacing w:after="0" w:line="240" w:lineRule="auto"/>
        <w:jc w:val="both"/>
        <w:rPr>
          <w:rFonts w:ascii="Arial" w:hAnsi="Arial" w:cs="Arial"/>
        </w:rPr>
      </w:pPr>
      <w:r w:rsidRPr="00F15C89">
        <w:rPr>
          <w:rFonts w:ascii="Arial" w:hAnsi="Arial" w:cs="Arial"/>
        </w:rPr>
        <w:t xml:space="preserve">Směrnice 2023/970, </w:t>
      </w:r>
      <w:r w:rsidR="00552CD6" w:rsidRPr="00F15C89">
        <w:rPr>
          <w:rFonts w:ascii="Arial" w:hAnsi="Arial" w:cs="Arial"/>
        </w:rPr>
        <w:t>kterou se posiluje uplatňování zásady stejné odměny mužů a žen za stejnou práci nebo práci stejné hodnoty prostřednictvím transparentnosti odměňování a mechanismů prosazování</w:t>
      </w:r>
    </w:p>
    <w:p w14:paraId="4FE12812" w14:textId="77777777" w:rsidR="00F13BB9" w:rsidRPr="00F15C89" w:rsidRDefault="00F13BB9" w:rsidP="00F35517">
      <w:pPr>
        <w:spacing w:after="0" w:line="240" w:lineRule="auto"/>
        <w:ind w:left="720"/>
        <w:jc w:val="both"/>
        <w:rPr>
          <w:rFonts w:ascii="Arial" w:hAnsi="Arial" w:cs="Arial"/>
        </w:rPr>
      </w:pPr>
    </w:p>
    <w:p w14:paraId="0BCB1249" w14:textId="009CC50D" w:rsidR="00F13BB9" w:rsidRPr="00F15C89" w:rsidRDefault="00F13BB9" w:rsidP="00F35517">
      <w:pPr>
        <w:spacing w:after="0" w:line="240" w:lineRule="auto"/>
        <w:jc w:val="both"/>
        <w:rPr>
          <w:rFonts w:ascii="Arial" w:hAnsi="Arial" w:cs="Arial"/>
        </w:rPr>
      </w:pPr>
      <w:r w:rsidRPr="00F15C89">
        <w:rPr>
          <w:rFonts w:ascii="Arial" w:hAnsi="Arial" w:cs="Arial"/>
        </w:rPr>
        <w:t xml:space="preserve">Regulace </w:t>
      </w:r>
      <w:r w:rsidR="00475142" w:rsidRPr="00F15C89">
        <w:rPr>
          <w:rFonts w:ascii="Arial" w:hAnsi="Arial" w:cs="Arial"/>
        </w:rPr>
        <w:t>s možnost</w:t>
      </w:r>
      <w:r w:rsidR="002A5F70" w:rsidRPr="00F15C89">
        <w:rPr>
          <w:rFonts w:ascii="Arial" w:hAnsi="Arial" w:cs="Arial"/>
        </w:rPr>
        <w:t>í</w:t>
      </w:r>
      <w:r w:rsidR="00475142" w:rsidRPr="00F15C89">
        <w:rPr>
          <w:rFonts w:ascii="Arial" w:hAnsi="Arial" w:cs="Arial"/>
        </w:rPr>
        <w:t xml:space="preserve"> sankčního omezení účasti v zadávacích řízeních</w:t>
      </w:r>
      <w:r w:rsidRPr="00F15C89">
        <w:rPr>
          <w:rFonts w:ascii="Arial" w:hAnsi="Arial" w:cs="Arial"/>
        </w:rPr>
        <w:t> </w:t>
      </w:r>
    </w:p>
    <w:p w14:paraId="3F56D165" w14:textId="17CC45B0" w:rsidR="00F13BB9" w:rsidRPr="00F15C89" w:rsidRDefault="00CD7AFB" w:rsidP="005C157D">
      <w:pPr>
        <w:numPr>
          <w:ilvl w:val="0"/>
          <w:numId w:val="45"/>
        </w:numPr>
        <w:spacing w:after="0" w:line="240" w:lineRule="auto"/>
        <w:jc w:val="both"/>
        <w:rPr>
          <w:rFonts w:ascii="Arial" w:hAnsi="Arial" w:cs="Arial"/>
        </w:rPr>
      </w:pPr>
      <w:r w:rsidRPr="00F15C89">
        <w:rPr>
          <w:rFonts w:ascii="Arial" w:hAnsi="Arial" w:cs="Arial"/>
        </w:rPr>
        <w:t xml:space="preserve">Nařízení </w:t>
      </w:r>
      <w:r w:rsidR="00F13BB9" w:rsidRPr="00F15C89">
        <w:rPr>
          <w:rFonts w:ascii="Arial" w:hAnsi="Arial" w:cs="Arial"/>
        </w:rPr>
        <w:t xml:space="preserve">2023/1115 o </w:t>
      </w:r>
      <w:r w:rsidRPr="00F15C89">
        <w:rPr>
          <w:rFonts w:ascii="Arial" w:hAnsi="Arial" w:cs="Arial"/>
        </w:rPr>
        <w:t xml:space="preserve">dodávání na trh Unie a vývozu z Unie některých komodit </w:t>
      </w:r>
      <w:r w:rsidR="00A23AF9" w:rsidRPr="00F15C89">
        <w:rPr>
          <w:rFonts w:ascii="Arial" w:hAnsi="Arial" w:cs="Arial"/>
        </w:rPr>
        <w:t>a</w:t>
      </w:r>
      <w:r w:rsidR="00A23AF9">
        <w:rPr>
          <w:rFonts w:ascii="Arial" w:hAnsi="Arial" w:cs="Arial"/>
        </w:rPr>
        <w:t> </w:t>
      </w:r>
      <w:r w:rsidRPr="00F15C89">
        <w:rPr>
          <w:rFonts w:ascii="Arial" w:hAnsi="Arial" w:cs="Arial"/>
        </w:rPr>
        <w:t>produktů spojených s odlesňováním a znehodnocováním lesů</w:t>
      </w:r>
    </w:p>
    <w:p w14:paraId="00ABDE98" w14:textId="117AFFAF" w:rsidR="00F13BB9" w:rsidRPr="00F15C89" w:rsidRDefault="00133547" w:rsidP="005C157D">
      <w:pPr>
        <w:numPr>
          <w:ilvl w:val="0"/>
          <w:numId w:val="45"/>
        </w:numPr>
        <w:spacing w:after="0" w:line="240" w:lineRule="auto"/>
        <w:jc w:val="both"/>
        <w:rPr>
          <w:rFonts w:ascii="Arial" w:hAnsi="Arial" w:cs="Arial"/>
        </w:rPr>
      </w:pPr>
      <w:r w:rsidRPr="00F15C89">
        <w:rPr>
          <w:rFonts w:ascii="Arial" w:hAnsi="Arial" w:cs="Arial"/>
        </w:rPr>
        <w:t xml:space="preserve">Nařízení </w:t>
      </w:r>
      <w:r w:rsidR="00F13BB9" w:rsidRPr="00F15C89">
        <w:rPr>
          <w:rFonts w:ascii="Arial" w:hAnsi="Arial" w:cs="Arial"/>
        </w:rPr>
        <w:t>2024/1157 o přepravě odpadů</w:t>
      </w:r>
    </w:p>
    <w:p w14:paraId="1C3628D8" w14:textId="4BABB6DA" w:rsidR="00F13BB9" w:rsidRPr="00F15C89" w:rsidRDefault="00133547" w:rsidP="005C157D">
      <w:pPr>
        <w:numPr>
          <w:ilvl w:val="0"/>
          <w:numId w:val="45"/>
        </w:numPr>
        <w:spacing w:after="0" w:line="240" w:lineRule="auto"/>
        <w:jc w:val="both"/>
        <w:rPr>
          <w:rFonts w:ascii="Arial" w:hAnsi="Arial" w:cs="Arial"/>
        </w:rPr>
      </w:pPr>
      <w:r w:rsidRPr="00F15C89">
        <w:rPr>
          <w:rFonts w:ascii="Arial" w:hAnsi="Arial" w:cs="Arial"/>
        </w:rPr>
        <w:t xml:space="preserve">Směrnice </w:t>
      </w:r>
      <w:r w:rsidR="00F13BB9" w:rsidRPr="00F15C89">
        <w:rPr>
          <w:rFonts w:ascii="Arial" w:hAnsi="Arial" w:cs="Arial"/>
        </w:rPr>
        <w:t>2024/1203 o trestněprávní ochraně životního prostředí </w:t>
      </w:r>
    </w:p>
    <w:p w14:paraId="02F82DB3" w14:textId="3BAD418B" w:rsidR="00C70C27" w:rsidRPr="00F15C89" w:rsidRDefault="00C70C27" w:rsidP="005C157D">
      <w:pPr>
        <w:spacing w:after="0" w:line="240" w:lineRule="auto"/>
        <w:jc w:val="both"/>
        <w:rPr>
          <w:rFonts w:ascii="Arial" w:hAnsi="Arial" w:cs="Arial"/>
        </w:rPr>
      </w:pPr>
    </w:p>
    <w:p w14:paraId="0878D3B5" w14:textId="5E6EBF6A" w:rsidR="00194EC0" w:rsidRPr="00F15C89" w:rsidRDefault="00892DFC">
      <w:pPr>
        <w:rPr>
          <w:rFonts w:ascii="Arial" w:hAnsi="Arial" w:cs="Arial"/>
        </w:rPr>
      </w:pPr>
      <w:r w:rsidRPr="00F15C89">
        <w:rPr>
          <w:rFonts w:ascii="Arial" w:hAnsi="Arial" w:cs="Arial"/>
        </w:rPr>
        <w:br w:type="page"/>
      </w:r>
    </w:p>
    <w:p w14:paraId="2B3BC752" w14:textId="21846692" w:rsidR="00194EC0" w:rsidRPr="00F15C89" w:rsidRDefault="00576F45" w:rsidP="008502A0">
      <w:pPr>
        <w:pStyle w:val="Nadpis1"/>
        <w:rPr>
          <w:rFonts w:cs="Arial"/>
          <w:sz w:val="22"/>
          <w:szCs w:val="22"/>
        </w:rPr>
      </w:pPr>
      <w:bookmarkStart w:id="21" w:name="_Toc198290971"/>
      <w:r w:rsidRPr="00F15C89">
        <w:rPr>
          <w:rFonts w:cs="Arial"/>
          <w:sz w:val="22"/>
          <w:szCs w:val="22"/>
        </w:rPr>
        <w:lastRenderedPageBreak/>
        <w:t>Seznam zkratek</w:t>
      </w:r>
      <w:bookmarkEnd w:id="21"/>
    </w:p>
    <w:p w14:paraId="7230BCA8" w14:textId="77777777" w:rsidR="00162685" w:rsidRPr="00F15C89" w:rsidRDefault="00162685" w:rsidP="00162685">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6735"/>
      </w:tblGrid>
      <w:tr w:rsidR="00162685" w:rsidRPr="00F15C89" w14:paraId="2515A8A8"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54BD8305" w14:textId="77777777" w:rsidR="00162685" w:rsidRPr="00F15C89" w:rsidRDefault="00162685" w:rsidP="003E4AD7">
            <w:pPr>
              <w:spacing w:after="0" w:line="240" w:lineRule="auto"/>
              <w:rPr>
                <w:rFonts w:ascii="Arial" w:eastAsia="Calibri" w:hAnsi="Arial" w:cs="Arial"/>
                <w:color w:val="000000" w:themeColor="text1"/>
              </w:rPr>
            </w:pPr>
            <w:r w:rsidRPr="00F15C89">
              <w:rPr>
                <w:rFonts w:ascii="Arial" w:eastAsia="Calibri" w:hAnsi="Arial" w:cs="Arial"/>
                <w:color w:val="000000" w:themeColor="text1"/>
              </w:rPr>
              <w:t>ZKRATKA</w:t>
            </w:r>
          </w:p>
        </w:tc>
        <w:tc>
          <w:tcPr>
            <w:tcW w:w="6735" w:type="dxa"/>
            <w:tcBorders>
              <w:top w:val="single" w:sz="6" w:space="0" w:color="auto"/>
              <w:left w:val="single" w:sz="6" w:space="0" w:color="auto"/>
              <w:bottom w:val="single" w:sz="6" w:space="0" w:color="auto"/>
              <w:right w:val="single" w:sz="6" w:space="0" w:color="auto"/>
            </w:tcBorders>
          </w:tcPr>
          <w:p w14:paraId="05583C80" w14:textId="77777777" w:rsidR="00162685" w:rsidRPr="00F15C89" w:rsidRDefault="00162685" w:rsidP="003E4AD7">
            <w:pPr>
              <w:spacing w:after="0" w:line="240" w:lineRule="auto"/>
              <w:rPr>
                <w:rFonts w:ascii="Arial" w:eastAsia="Calibri" w:hAnsi="Arial" w:cs="Arial"/>
                <w:color w:val="000000" w:themeColor="text1"/>
              </w:rPr>
            </w:pPr>
            <w:r w:rsidRPr="00F15C89">
              <w:rPr>
                <w:rFonts w:ascii="Arial" w:eastAsia="Calibri" w:hAnsi="Arial" w:cs="Arial"/>
                <w:color w:val="000000" w:themeColor="text1"/>
              </w:rPr>
              <w:t>VYSVĚTLENÍ</w:t>
            </w:r>
          </w:p>
        </w:tc>
      </w:tr>
      <w:tr w:rsidR="00162685" w:rsidRPr="00F15C89" w14:paraId="3268B316"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4AF40AAD" w14:textId="0A8DBB89" w:rsidR="00162685" w:rsidRPr="00F15C89" w:rsidRDefault="00952ECE" w:rsidP="003E4AD7">
            <w:pPr>
              <w:spacing w:after="0" w:line="240" w:lineRule="auto"/>
              <w:rPr>
                <w:rFonts w:ascii="Arial" w:eastAsia="Calibri" w:hAnsi="Arial" w:cs="Arial"/>
                <w:color w:val="000000" w:themeColor="text1"/>
              </w:rPr>
            </w:pPr>
            <w:r w:rsidRPr="00F15C89">
              <w:rPr>
                <w:rFonts w:ascii="Arial" w:eastAsia="Calibri" w:hAnsi="Arial" w:cs="Arial"/>
                <w:color w:val="000000" w:themeColor="text1"/>
              </w:rPr>
              <w:t>3E</w:t>
            </w:r>
          </w:p>
        </w:tc>
        <w:tc>
          <w:tcPr>
            <w:tcW w:w="6735" w:type="dxa"/>
            <w:tcBorders>
              <w:top w:val="single" w:sz="6" w:space="0" w:color="auto"/>
              <w:left w:val="single" w:sz="6" w:space="0" w:color="auto"/>
              <w:bottom w:val="single" w:sz="6" w:space="0" w:color="auto"/>
              <w:right w:val="single" w:sz="6" w:space="0" w:color="auto"/>
            </w:tcBorders>
          </w:tcPr>
          <w:p w14:paraId="0F4A59EE" w14:textId="78876ABB" w:rsidR="00162685" w:rsidRPr="00F15C89" w:rsidRDefault="00365EAC" w:rsidP="003E4AD7">
            <w:pPr>
              <w:spacing w:after="0" w:line="240" w:lineRule="auto"/>
              <w:rPr>
                <w:rFonts w:ascii="Arial" w:eastAsia="Calibri" w:hAnsi="Arial" w:cs="Arial"/>
                <w:color w:val="000000" w:themeColor="text1"/>
              </w:rPr>
            </w:pPr>
            <w:r w:rsidRPr="00F15C89">
              <w:rPr>
                <w:rFonts w:ascii="Arial" w:eastAsia="Calibri" w:hAnsi="Arial" w:cs="Arial"/>
                <w:color w:val="000000" w:themeColor="text1"/>
              </w:rPr>
              <w:t>tzv. principy účelnosti, hospodárnost</w:t>
            </w:r>
            <w:r w:rsidR="414476E1" w:rsidRPr="00F15C89">
              <w:rPr>
                <w:rFonts w:ascii="Arial" w:eastAsia="Calibri" w:hAnsi="Arial" w:cs="Arial"/>
                <w:color w:val="000000" w:themeColor="text1"/>
              </w:rPr>
              <w:t>i</w:t>
            </w:r>
            <w:r w:rsidRPr="00F15C89">
              <w:rPr>
                <w:rFonts w:ascii="Arial" w:eastAsia="Calibri" w:hAnsi="Arial" w:cs="Arial"/>
                <w:color w:val="000000" w:themeColor="text1"/>
              </w:rPr>
              <w:t xml:space="preserve"> a efektivnosti</w:t>
            </w:r>
          </w:p>
        </w:tc>
      </w:tr>
      <w:tr w:rsidR="00952ECE" w:rsidRPr="00F15C89" w14:paraId="606CDAC4"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75AB3299" w14:textId="57C7B0DB" w:rsidR="00952ECE" w:rsidRPr="00F15C89" w:rsidRDefault="00952ECE" w:rsidP="00952ECE">
            <w:pPr>
              <w:spacing w:after="0" w:line="240" w:lineRule="auto"/>
              <w:rPr>
                <w:rFonts w:ascii="Arial" w:eastAsia="Calibri" w:hAnsi="Arial" w:cs="Arial"/>
                <w:color w:val="000000" w:themeColor="text1"/>
              </w:rPr>
            </w:pPr>
            <w:r w:rsidRPr="00F15C89">
              <w:rPr>
                <w:rFonts w:ascii="Arial" w:eastAsia="Calibri" w:hAnsi="Arial" w:cs="Arial"/>
                <w:color w:val="000000" w:themeColor="text1"/>
              </w:rPr>
              <w:t>BOZP</w:t>
            </w:r>
          </w:p>
        </w:tc>
        <w:tc>
          <w:tcPr>
            <w:tcW w:w="6735" w:type="dxa"/>
            <w:tcBorders>
              <w:top w:val="single" w:sz="6" w:space="0" w:color="auto"/>
              <w:left w:val="single" w:sz="6" w:space="0" w:color="auto"/>
              <w:bottom w:val="single" w:sz="6" w:space="0" w:color="auto"/>
              <w:right w:val="single" w:sz="6" w:space="0" w:color="auto"/>
            </w:tcBorders>
          </w:tcPr>
          <w:p w14:paraId="43C10F18" w14:textId="22D8A66A" w:rsidR="00952ECE" w:rsidRPr="00F15C89" w:rsidRDefault="00952ECE" w:rsidP="00952ECE">
            <w:pPr>
              <w:spacing w:after="0" w:line="240" w:lineRule="auto"/>
              <w:rPr>
                <w:rFonts w:ascii="Arial" w:eastAsia="Calibri" w:hAnsi="Arial" w:cs="Arial"/>
                <w:color w:val="000000" w:themeColor="text1"/>
              </w:rPr>
            </w:pPr>
            <w:r w:rsidRPr="00F15C89">
              <w:rPr>
                <w:rFonts w:ascii="Arial" w:eastAsia="Calibri" w:hAnsi="Arial" w:cs="Arial"/>
                <w:color w:val="000000" w:themeColor="text1"/>
              </w:rPr>
              <w:t>bezpečnost a ochrana zdraví při práci</w:t>
            </w:r>
          </w:p>
        </w:tc>
      </w:tr>
      <w:tr w:rsidR="00952ECE" w:rsidRPr="00F15C89" w14:paraId="59955232"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4B11833E" w14:textId="6C74F6B7" w:rsidR="00952ECE" w:rsidRPr="00F15C89" w:rsidRDefault="00952ECE" w:rsidP="00952ECE">
            <w:pPr>
              <w:spacing w:after="0" w:line="240" w:lineRule="auto"/>
              <w:rPr>
                <w:rFonts w:ascii="Arial" w:eastAsia="Calibri" w:hAnsi="Arial" w:cs="Arial"/>
                <w:color w:val="000000" w:themeColor="text1"/>
              </w:rPr>
            </w:pPr>
            <w:r w:rsidRPr="00F15C89">
              <w:rPr>
                <w:rFonts w:ascii="Arial" w:eastAsia="Calibri" w:hAnsi="Arial" w:cs="Arial"/>
                <w:color w:val="000000" w:themeColor="text1"/>
              </w:rPr>
              <w:t>BP</w:t>
            </w:r>
          </w:p>
        </w:tc>
        <w:tc>
          <w:tcPr>
            <w:tcW w:w="6735" w:type="dxa"/>
            <w:tcBorders>
              <w:top w:val="single" w:sz="6" w:space="0" w:color="auto"/>
              <w:left w:val="single" w:sz="6" w:space="0" w:color="auto"/>
              <w:bottom w:val="single" w:sz="6" w:space="0" w:color="auto"/>
              <w:right w:val="single" w:sz="6" w:space="0" w:color="auto"/>
            </w:tcBorders>
          </w:tcPr>
          <w:p w14:paraId="79E4CCE4" w14:textId="5E29ABE3" w:rsidR="00952ECE" w:rsidRPr="00F15C89" w:rsidRDefault="00952ECE" w:rsidP="00952ECE">
            <w:pPr>
              <w:spacing w:after="0" w:line="240" w:lineRule="auto"/>
              <w:rPr>
                <w:rFonts w:ascii="Arial" w:eastAsia="Calibri" w:hAnsi="Arial" w:cs="Arial"/>
                <w:color w:val="000000" w:themeColor="text1"/>
              </w:rPr>
            </w:pPr>
            <w:r w:rsidRPr="00F15C89">
              <w:rPr>
                <w:rFonts w:ascii="Arial" w:eastAsia="Calibri" w:hAnsi="Arial" w:cs="Arial"/>
                <w:color w:val="000000" w:themeColor="text1"/>
              </w:rPr>
              <w:t>bezpečnostní pracovník</w:t>
            </w:r>
          </w:p>
        </w:tc>
      </w:tr>
      <w:tr w:rsidR="00952ECE" w:rsidRPr="00F15C89" w14:paraId="0874C66C"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403A1E9B" w14:textId="7FB40265" w:rsidR="00952ECE" w:rsidRPr="00F15C89" w:rsidRDefault="00952ECE" w:rsidP="00952ECE">
            <w:pPr>
              <w:spacing w:after="0" w:line="240" w:lineRule="auto"/>
              <w:rPr>
                <w:rFonts w:ascii="Arial" w:eastAsia="Calibri" w:hAnsi="Arial" w:cs="Arial"/>
                <w:color w:val="000000" w:themeColor="text1"/>
              </w:rPr>
            </w:pPr>
            <w:r w:rsidRPr="00F15C89">
              <w:rPr>
                <w:rFonts w:ascii="Arial" w:eastAsia="Calibri" w:hAnsi="Arial" w:cs="Arial"/>
                <w:color w:val="000000" w:themeColor="text1"/>
              </w:rPr>
              <w:t>ČR</w:t>
            </w:r>
          </w:p>
        </w:tc>
        <w:tc>
          <w:tcPr>
            <w:tcW w:w="6735" w:type="dxa"/>
            <w:tcBorders>
              <w:top w:val="single" w:sz="6" w:space="0" w:color="auto"/>
              <w:left w:val="single" w:sz="6" w:space="0" w:color="auto"/>
              <w:bottom w:val="single" w:sz="6" w:space="0" w:color="auto"/>
              <w:right w:val="single" w:sz="6" w:space="0" w:color="auto"/>
            </w:tcBorders>
          </w:tcPr>
          <w:p w14:paraId="10B4F056" w14:textId="37CCE237" w:rsidR="00952ECE" w:rsidRPr="00F15C89" w:rsidRDefault="00952ECE" w:rsidP="00952ECE">
            <w:pPr>
              <w:spacing w:after="0" w:line="240" w:lineRule="auto"/>
              <w:rPr>
                <w:rFonts w:ascii="Arial" w:eastAsia="Calibri" w:hAnsi="Arial" w:cs="Arial"/>
                <w:color w:val="000000" w:themeColor="text1"/>
              </w:rPr>
            </w:pPr>
            <w:r w:rsidRPr="00F15C89">
              <w:rPr>
                <w:rFonts w:ascii="Arial" w:eastAsia="Calibri" w:hAnsi="Arial" w:cs="Arial"/>
                <w:color w:val="000000" w:themeColor="text1"/>
              </w:rPr>
              <w:t>Česká republika</w:t>
            </w:r>
          </w:p>
        </w:tc>
      </w:tr>
      <w:tr w:rsidR="00952ECE" w:rsidRPr="00F15C89" w14:paraId="573C71FE"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45C25795" w14:textId="4A0F25D5" w:rsidR="00952ECE" w:rsidRPr="00F15C89" w:rsidRDefault="00952ECE" w:rsidP="00952ECE">
            <w:pPr>
              <w:spacing w:after="0" w:line="240" w:lineRule="auto"/>
              <w:rPr>
                <w:rFonts w:ascii="Arial" w:eastAsia="Calibri" w:hAnsi="Arial" w:cs="Arial"/>
                <w:color w:val="000000" w:themeColor="text1"/>
              </w:rPr>
            </w:pPr>
            <w:r w:rsidRPr="00F15C89">
              <w:rPr>
                <w:rFonts w:ascii="Arial" w:eastAsia="Calibri" w:hAnsi="Arial" w:cs="Arial"/>
                <w:color w:val="000000" w:themeColor="text1"/>
              </w:rPr>
              <w:t>EU</w:t>
            </w:r>
          </w:p>
        </w:tc>
        <w:tc>
          <w:tcPr>
            <w:tcW w:w="6735" w:type="dxa"/>
            <w:tcBorders>
              <w:top w:val="single" w:sz="6" w:space="0" w:color="auto"/>
              <w:left w:val="single" w:sz="6" w:space="0" w:color="auto"/>
              <w:bottom w:val="single" w:sz="6" w:space="0" w:color="auto"/>
              <w:right w:val="single" w:sz="6" w:space="0" w:color="auto"/>
            </w:tcBorders>
          </w:tcPr>
          <w:p w14:paraId="4BA6C0BA" w14:textId="422B2BA7" w:rsidR="00952ECE" w:rsidRPr="00F15C89" w:rsidRDefault="00952ECE" w:rsidP="00952ECE">
            <w:pPr>
              <w:spacing w:after="0" w:line="240" w:lineRule="auto"/>
              <w:rPr>
                <w:rFonts w:ascii="Arial" w:eastAsia="Calibri" w:hAnsi="Arial" w:cs="Arial"/>
                <w:color w:val="000000" w:themeColor="text1"/>
              </w:rPr>
            </w:pPr>
            <w:r w:rsidRPr="00F15C89">
              <w:rPr>
                <w:rFonts w:ascii="Arial" w:eastAsia="Calibri" w:hAnsi="Arial" w:cs="Arial"/>
                <w:color w:val="000000" w:themeColor="text1"/>
              </w:rPr>
              <w:t>Evropská unie</w:t>
            </w:r>
          </w:p>
        </w:tc>
      </w:tr>
      <w:tr w:rsidR="00952ECE" w:rsidRPr="00F15C89" w14:paraId="003D9E95"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44EDEF9F" w14:textId="0D368641" w:rsidR="00952ECE" w:rsidRPr="00F15C89" w:rsidRDefault="00952ECE" w:rsidP="00952ECE">
            <w:pPr>
              <w:spacing w:after="0" w:line="240" w:lineRule="auto"/>
              <w:rPr>
                <w:rFonts w:ascii="Arial" w:eastAsia="Calibri" w:hAnsi="Arial" w:cs="Arial"/>
                <w:color w:val="000000" w:themeColor="text1"/>
              </w:rPr>
            </w:pPr>
            <w:r w:rsidRPr="00F15C89">
              <w:rPr>
                <w:rFonts w:ascii="Arial" w:eastAsia="Calibri" w:hAnsi="Arial" w:cs="Arial"/>
                <w:color w:val="000000" w:themeColor="text1"/>
              </w:rPr>
              <w:t>DPH</w:t>
            </w:r>
          </w:p>
        </w:tc>
        <w:tc>
          <w:tcPr>
            <w:tcW w:w="6735" w:type="dxa"/>
            <w:tcBorders>
              <w:top w:val="single" w:sz="6" w:space="0" w:color="auto"/>
              <w:left w:val="single" w:sz="6" w:space="0" w:color="auto"/>
              <w:bottom w:val="single" w:sz="6" w:space="0" w:color="auto"/>
              <w:right w:val="single" w:sz="6" w:space="0" w:color="auto"/>
            </w:tcBorders>
          </w:tcPr>
          <w:p w14:paraId="770E7223" w14:textId="7FC92441" w:rsidR="00952ECE" w:rsidRPr="00F15C89" w:rsidRDefault="00952ECE" w:rsidP="00952ECE">
            <w:pPr>
              <w:spacing w:after="0" w:line="240" w:lineRule="auto"/>
              <w:rPr>
                <w:rFonts w:ascii="Arial" w:eastAsia="Calibri" w:hAnsi="Arial" w:cs="Arial"/>
                <w:color w:val="000000" w:themeColor="text1"/>
              </w:rPr>
            </w:pPr>
            <w:r w:rsidRPr="00F15C89">
              <w:rPr>
                <w:rFonts w:ascii="Arial" w:eastAsia="Calibri" w:hAnsi="Arial" w:cs="Arial"/>
                <w:color w:val="000000" w:themeColor="text1"/>
              </w:rPr>
              <w:t>daň z přidané hodnoty</w:t>
            </w:r>
          </w:p>
        </w:tc>
      </w:tr>
      <w:tr w:rsidR="005E7ACA" w:rsidRPr="00F15C89" w14:paraId="3B873711"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7F434A9F" w14:textId="7FE214C9"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MPS</w:t>
            </w:r>
          </w:p>
        </w:tc>
        <w:tc>
          <w:tcPr>
            <w:tcW w:w="6735" w:type="dxa"/>
            <w:tcBorders>
              <w:top w:val="single" w:sz="6" w:space="0" w:color="auto"/>
              <w:left w:val="single" w:sz="6" w:space="0" w:color="auto"/>
              <w:bottom w:val="single" w:sz="6" w:space="0" w:color="auto"/>
              <w:right w:val="single" w:sz="6" w:space="0" w:color="auto"/>
            </w:tcBorders>
          </w:tcPr>
          <w:p w14:paraId="5392A315" w14:textId="1F4457C3"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Meziresortní pracovní skupina</w:t>
            </w:r>
          </w:p>
        </w:tc>
      </w:tr>
      <w:tr w:rsidR="005E7ACA" w:rsidRPr="00F15C89" w14:paraId="41A98D91"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4D586A3B" w14:textId="1BE78751"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NAZV</w:t>
            </w:r>
          </w:p>
        </w:tc>
        <w:tc>
          <w:tcPr>
            <w:tcW w:w="6735" w:type="dxa"/>
            <w:tcBorders>
              <w:top w:val="single" w:sz="6" w:space="0" w:color="auto"/>
              <w:left w:val="single" w:sz="6" w:space="0" w:color="auto"/>
              <w:bottom w:val="single" w:sz="6" w:space="0" w:color="auto"/>
              <w:right w:val="single" w:sz="6" w:space="0" w:color="auto"/>
            </w:tcBorders>
          </w:tcPr>
          <w:p w14:paraId="53F03838" w14:textId="1C3F001A"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Národní agentura pro zemědělský výzkum</w:t>
            </w:r>
          </w:p>
        </w:tc>
      </w:tr>
      <w:tr w:rsidR="005E7ACA" w:rsidRPr="00F15C89" w14:paraId="1D46DB34"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20A8C99F" w14:textId="37F39879"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OVZ </w:t>
            </w:r>
          </w:p>
        </w:tc>
        <w:tc>
          <w:tcPr>
            <w:tcW w:w="6735" w:type="dxa"/>
            <w:tcBorders>
              <w:top w:val="single" w:sz="6" w:space="0" w:color="auto"/>
              <w:left w:val="single" w:sz="6" w:space="0" w:color="auto"/>
              <w:bottom w:val="single" w:sz="6" w:space="0" w:color="auto"/>
              <w:right w:val="single" w:sz="6" w:space="0" w:color="auto"/>
            </w:tcBorders>
          </w:tcPr>
          <w:p w14:paraId="064B995B" w14:textId="172D282F"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odpovědné veřejné zadávání </w:t>
            </w:r>
          </w:p>
        </w:tc>
      </w:tr>
      <w:tr w:rsidR="005E7ACA" w:rsidRPr="00F15C89" w14:paraId="0F819113"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425414A2" w14:textId="3A6B5ED4"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OZP</w:t>
            </w:r>
          </w:p>
        </w:tc>
        <w:tc>
          <w:tcPr>
            <w:tcW w:w="6735" w:type="dxa"/>
            <w:tcBorders>
              <w:top w:val="single" w:sz="6" w:space="0" w:color="auto"/>
              <w:left w:val="single" w:sz="6" w:space="0" w:color="auto"/>
              <w:bottom w:val="single" w:sz="6" w:space="0" w:color="auto"/>
              <w:right w:val="single" w:sz="6" w:space="0" w:color="auto"/>
            </w:tcBorders>
          </w:tcPr>
          <w:p w14:paraId="2EA87447" w14:textId="4421B6FE"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osoby zdravotně postižené</w:t>
            </w:r>
          </w:p>
        </w:tc>
      </w:tr>
      <w:tr w:rsidR="005E7ACA" w:rsidRPr="00F15C89" w14:paraId="61A0B6F3"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78A7521A" w14:textId="5C760F28"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ÚZEI</w:t>
            </w:r>
          </w:p>
        </w:tc>
        <w:tc>
          <w:tcPr>
            <w:tcW w:w="6735" w:type="dxa"/>
            <w:tcBorders>
              <w:top w:val="single" w:sz="6" w:space="0" w:color="auto"/>
              <w:left w:val="single" w:sz="6" w:space="0" w:color="auto"/>
              <w:bottom w:val="single" w:sz="6" w:space="0" w:color="auto"/>
              <w:right w:val="single" w:sz="6" w:space="0" w:color="auto"/>
            </w:tcBorders>
          </w:tcPr>
          <w:p w14:paraId="4605A53C" w14:textId="3830460D"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Ústav zemědělské ekonomiky a informací</w:t>
            </w:r>
          </w:p>
        </w:tc>
      </w:tr>
      <w:tr w:rsidR="005E7ACA" w:rsidRPr="00F15C89" w14:paraId="145B208F"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0616172D" w14:textId="2EFC365E"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VZ</w:t>
            </w:r>
          </w:p>
        </w:tc>
        <w:tc>
          <w:tcPr>
            <w:tcW w:w="6735" w:type="dxa"/>
            <w:tcBorders>
              <w:top w:val="single" w:sz="6" w:space="0" w:color="auto"/>
              <w:left w:val="single" w:sz="6" w:space="0" w:color="auto"/>
              <w:bottom w:val="single" w:sz="6" w:space="0" w:color="auto"/>
              <w:right w:val="single" w:sz="6" w:space="0" w:color="auto"/>
            </w:tcBorders>
          </w:tcPr>
          <w:p w14:paraId="1883D3A5" w14:textId="1CBE7F3B"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veřejná zakázka</w:t>
            </w:r>
          </w:p>
        </w:tc>
      </w:tr>
      <w:tr w:rsidR="005E7ACA" w:rsidRPr="00F15C89" w14:paraId="40C715F1"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5D9C3266" w14:textId="5323AE0F"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VZMR</w:t>
            </w:r>
          </w:p>
        </w:tc>
        <w:tc>
          <w:tcPr>
            <w:tcW w:w="6735" w:type="dxa"/>
            <w:tcBorders>
              <w:top w:val="single" w:sz="6" w:space="0" w:color="auto"/>
              <w:left w:val="single" w:sz="6" w:space="0" w:color="auto"/>
              <w:bottom w:val="single" w:sz="6" w:space="0" w:color="auto"/>
              <w:right w:val="single" w:sz="6" w:space="0" w:color="auto"/>
            </w:tcBorders>
          </w:tcPr>
          <w:p w14:paraId="4C465210" w14:textId="1AD9550F"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veřejné zakázky malého rozsahu</w:t>
            </w:r>
          </w:p>
        </w:tc>
      </w:tr>
      <w:tr w:rsidR="005E7ACA" w:rsidRPr="00F15C89" w14:paraId="7F23451D" w14:textId="77777777" w:rsidTr="003E4AD7">
        <w:trPr>
          <w:trHeight w:val="300"/>
        </w:trPr>
        <w:tc>
          <w:tcPr>
            <w:tcW w:w="2250" w:type="dxa"/>
            <w:tcBorders>
              <w:top w:val="single" w:sz="6" w:space="0" w:color="auto"/>
              <w:left w:val="single" w:sz="6" w:space="0" w:color="auto"/>
              <w:bottom w:val="single" w:sz="6" w:space="0" w:color="auto"/>
              <w:right w:val="single" w:sz="6" w:space="0" w:color="auto"/>
            </w:tcBorders>
          </w:tcPr>
          <w:p w14:paraId="30A18822" w14:textId="1EA0F199"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 xml:space="preserve">ZZVZ </w:t>
            </w:r>
          </w:p>
        </w:tc>
        <w:tc>
          <w:tcPr>
            <w:tcW w:w="6735" w:type="dxa"/>
            <w:tcBorders>
              <w:top w:val="single" w:sz="6" w:space="0" w:color="auto"/>
              <w:left w:val="single" w:sz="6" w:space="0" w:color="auto"/>
              <w:bottom w:val="single" w:sz="6" w:space="0" w:color="auto"/>
              <w:right w:val="single" w:sz="6" w:space="0" w:color="auto"/>
            </w:tcBorders>
          </w:tcPr>
          <w:p w14:paraId="3FF04210" w14:textId="1F61498F" w:rsidR="005E7ACA" w:rsidRPr="00F15C89" w:rsidRDefault="005E7ACA" w:rsidP="005E7ACA">
            <w:pPr>
              <w:spacing w:after="0" w:line="240" w:lineRule="auto"/>
              <w:rPr>
                <w:rFonts w:ascii="Arial" w:eastAsia="Calibri" w:hAnsi="Arial" w:cs="Arial"/>
                <w:color w:val="000000" w:themeColor="text1"/>
              </w:rPr>
            </w:pPr>
            <w:r w:rsidRPr="00F15C89">
              <w:rPr>
                <w:rFonts w:ascii="Arial" w:eastAsia="Calibri" w:hAnsi="Arial" w:cs="Arial"/>
                <w:color w:val="000000" w:themeColor="text1"/>
              </w:rPr>
              <w:t>zákon č. 134/2016 Sb., o zadávání veřejných zakázek, ve znění pozdějších předpisů</w:t>
            </w:r>
          </w:p>
        </w:tc>
      </w:tr>
    </w:tbl>
    <w:p w14:paraId="38C0A5C7" w14:textId="77777777" w:rsidR="00194EC0" w:rsidRPr="00F15C89" w:rsidRDefault="00194EC0" w:rsidP="005C157D">
      <w:pPr>
        <w:spacing w:after="0" w:line="240" w:lineRule="auto"/>
        <w:jc w:val="both"/>
        <w:rPr>
          <w:rFonts w:ascii="Arial" w:hAnsi="Arial" w:cs="Arial"/>
        </w:rPr>
      </w:pPr>
    </w:p>
    <w:sectPr w:rsidR="00194EC0" w:rsidRPr="00F15C8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6CAB" w14:textId="77777777" w:rsidR="00780BFE" w:rsidRDefault="00780BFE">
      <w:pPr>
        <w:spacing w:after="0" w:line="240" w:lineRule="auto"/>
      </w:pPr>
      <w:r>
        <w:separator/>
      </w:r>
    </w:p>
  </w:endnote>
  <w:endnote w:type="continuationSeparator" w:id="0">
    <w:p w14:paraId="440F4F02" w14:textId="77777777" w:rsidR="00780BFE" w:rsidRDefault="00780BFE">
      <w:pPr>
        <w:spacing w:after="0" w:line="240" w:lineRule="auto"/>
      </w:pPr>
      <w:r>
        <w:continuationSeparator/>
      </w:r>
    </w:p>
  </w:endnote>
  <w:endnote w:type="continuationNotice" w:id="1">
    <w:p w14:paraId="0EFF9735" w14:textId="77777777" w:rsidR="00780BFE" w:rsidRDefault="00780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44F4" w14:textId="77777777" w:rsidR="00F15C89" w:rsidRDefault="00F15C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237919"/>
      <w:docPartObj>
        <w:docPartGallery w:val="Page Numbers (Bottom of Page)"/>
        <w:docPartUnique/>
      </w:docPartObj>
    </w:sdtPr>
    <w:sdtContent>
      <w:p w14:paraId="17955F3B" w14:textId="77777777" w:rsidR="006D63A0" w:rsidRDefault="00784D6B">
        <w:pPr>
          <w:pStyle w:val="Zpat"/>
          <w:jc w:val="center"/>
        </w:pPr>
        <w:r>
          <w:fldChar w:fldCharType="begin"/>
        </w:r>
        <w:r>
          <w:instrText>PAGE   \* MERGEFORMAT</w:instrText>
        </w:r>
        <w:r>
          <w:fldChar w:fldCharType="separate"/>
        </w:r>
        <w:r w:rsidR="004525E5">
          <w:rPr>
            <w:noProof/>
          </w:rPr>
          <w:t>2</w:t>
        </w:r>
        <w:r>
          <w:fldChar w:fldCharType="end"/>
        </w:r>
      </w:p>
    </w:sdtContent>
  </w:sdt>
  <w:p w14:paraId="587315B3" w14:textId="77777777" w:rsidR="006D63A0" w:rsidRDefault="006D63A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D797" w14:textId="77777777" w:rsidR="00F15C89" w:rsidRDefault="00F15C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DCD0" w14:textId="77777777" w:rsidR="00780BFE" w:rsidRDefault="00780BFE">
      <w:pPr>
        <w:spacing w:after="0" w:line="240" w:lineRule="auto"/>
      </w:pPr>
      <w:r>
        <w:separator/>
      </w:r>
    </w:p>
  </w:footnote>
  <w:footnote w:type="continuationSeparator" w:id="0">
    <w:p w14:paraId="63398FE6" w14:textId="77777777" w:rsidR="00780BFE" w:rsidRDefault="00780BFE">
      <w:pPr>
        <w:spacing w:after="0" w:line="240" w:lineRule="auto"/>
      </w:pPr>
      <w:r>
        <w:continuationSeparator/>
      </w:r>
    </w:p>
  </w:footnote>
  <w:footnote w:type="continuationNotice" w:id="1">
    <w:p w14:paraId="1BEB07C7" w14:textId="77777777" w:rsidR="00780BFE" w:rsidRDefault="00780BFE">
      <w:pPr>
        <w:spacing w:after="0" w:line="240" w:lineRule="auto"/>
      </w:pPr>
    </w:p>
  </w:footnote>
  <w:footnote w:id="2">
    <w:p w14:paraId="7AE267B2" w14:textId="77777777" w:rsidR="00F13BB9" w:rsidRPr="006F3F25" w:rsidRDefault="00F13BB9" w:rsidP="00F13BB9">
      <w:pPr>
        <w:pStyle w:val="Textpoznpodarou"/>
        <w:jc w:val="left"/>
        <w:rPr>
          <w:rFonts w:ascii="Arial" w:hAnsi="Arial" w:cs="Arial"/>
          <w:szCs w:val="18"/>
          <w:lang w:val="cs-CZ"/>
        </w:rPr>
      </w:pPr>
      <w:r w:rsidRPr="006F3F25">
        <w:rPr>
          <w:rStyle w:val="Znakapoznpodarou"/>
          <w:rFonts w:ascii="Arial" w:hAnsi="Arial" w:cs="Arial"/>
          <w:szCs w:val="18"/>
          <w:lang w:val="cs-CZ"/>
        </w:rPr>
        <w:footnoteRef/>
      </w:r>
      <w:r w:rsidRPr="006F3F25">
        <w:rPr>
          <w:rFonts w:ascii="Arial" w:hAnsi="Arial" w:cs="Arial"/>
          <w:szCs w:val="18"/>
          <w:lang w:val="cs-CZ"/>
        </w:rPr>
        <w:t xml:space="preserve"> Vychází z definic </w:t>
      </w:r>
      <w:r w:rsidRPr="006F3F25">
        <w:rPr>
          <w:rFonts w:ascii="Arial" w:hAnsi="Arial" w:cs="Arial"/>
          <w:szCs w:val="18"/>
        </w:rPr>
        <w:t>Sustainable Procurement Task Force UK (2006) a Marrakesh Task Force on Sustainable Public Procurement, UNEP: “Responsible Public Procurement – a process whereby organisations meet their needs for goods, service, works and utilities in a way that achieves value for money on a whole life basis in terms of generating benefits to society and the economy, whilst minimising damage to the environment.”</w:t>
      </w:r>
    </w:p>
  </w:footnote>
  <w:footnote w:id="3">
    <w:p w14:paraId="5AB122A8" w14:textId="77777777" w:rsidR="00F13BB9" w:rsidRPr="006F3F25" w:rsidRDefault="00F13BB9" w:rsidP="00F13BB9">
      <w:pPr>
        <w:pStyle w:val="Textpoznpodarou"/>
        <w:rPr>
          <w:rFonts w:ascii="Arial" w:hAnsi="Arial" w:cs="Arial"/>
          <w:szCs w:val="18"/>
          <w:lang w:val="cs-CZ"/>
        </w:rPr>
      </w:pPr>
      <w:r w:rsidRPr="006F3F25">
        <w:rPr>
          <w:rStyle w:val="Znakapoznpodarou"/>
          <w:rFonts w:ascii="Arial" w:hAnsi="Arial" w:cs="Arial"/>
          <w:szCs w:val="18"/>
          <w:lang w:val="cs-CZ"/>
        </w:rPr>
        <w:footnoteRef/>
      </w:r>
      <w:r w:rsidRPr="006F3F25">
        <w:rPr>
          <w:rFonts w:ascii="Arial" w:hAnsi="Arial" w:cs="Arial"/>
          <w:szCs w:val="18"/>
          <w:lang w:val="cs-CZ"/>
        </w:rPr>
        <w:t xml:space="preserve"> Viz též </w:t>
      </w:r>
      <w:r w:rsidRPr="006F3F25">
        <w:rPr>
          <w:rStyle w:val="cf01"/>
          <w:rFonts w:ascii="Arial" w:hAnsi="Arial" w:cs="Arial"/>
          <w:lang w:val="cs-CZ"/>
        </w:rPr>
        <w:t>rozsudek SDEU Tim SpA (C-395/18) ze dne 20.1.2020 ve vztahu k čl. 18 odst. 2 s</w:t>
      </w:r>
      <w:r w:rsidRPr="006F3F25">
        <w:rPr>
          <w:rFonts w:ascii="Arial" w:hAnsi="Arial" w:cs="Arial"/>
          <w:szCs w:val="18"/>
          <w:lang w:val="cs-CZ"/>
        </w:rPr>
        <w:t xml:space="preserve">měrnice Evropského Parlamentu a Rady 2014/24/EU ze dne 26. února 2014 o zadávání veřejných zakázek, dostupný zde </w:t>
      </w:r>
      <w:hyperlink r:id="rId1" w:history="1">
        <w:r w:rsidRPr="006F3F25">
          <w:rPr>
            <w:rStyle w:val="Hypertextovodkaz"/>
            <w:rFonts w:ascii="Arial" w:hAnsi="Arial" w:cs="Arial"/>
            <w:szCs w:val="18"/>
            <w:lang w:val="cs-CZ"/>
          </w:rPr>
          <w:t>62018CJ0395</w:t>
        </w:r>
      </w:hyperlink>
    </w:p>
  </w:footnote>
  <w:footnote w:id="4">
    <w:p w14:paraId="2EB20305" w14:textId="63C4B88C" w:rsidR="001A3A67" w:rsidRPr="006F3F25" w:rsidRDefault="001A3A67">
      <w:pPr>
        <w:pStyle w:val="Textpoznpodarou"/>
        <w:rPr>
          <w:rFonts w:ascii="Arial" w:hAnsi="Arial" w:cs="Arial"/>
          <w:szCs w:val="18"/>
          <w:lang w:val="cs-CZ"/>
        </w:rPr>
      </w:pPr>
      <w:r w:rsidRPr="006F3F25">
        <w:rPr>
          <w:rStyle w:val="Znakapoznpodarou"/>
          <w:rFonts w:ascii="Arial" w:hAnsi="Arial" w:cs="Arial"/>
          <w:szCs w:val="18"/>
        </w:rPr>
        <w:footnoteRef/>
      </w:r>
      <w:r w:rsidRPr="006F3F25">
        <w:rPr>
          <w:rFonts w:ascii="Arial" w:hAnsi="Arial" w:cs="Arial"/>
          <w:szCs w:val="18"/>
          <w:lang w:val="de-AT"/>
        </w:rPr>
        <w:t xml:space="preserve"> Viz </w:t>
      </w:r>
      <w:hyperlink r:id="rId2" w:history="1">
        <w:r w:rsidRPr="006F3F25">
          <w:rPr>
            <w:rStyle w:val="Hypertextovodkaz"/>
            <w:rFonts w:ascii="Arial" w:hAnsi="Arial" w:cs="Arial"/>
            <w:szCs w:val="18"/>
            <w:lang w:val="cs-CZ"/>
          </w:rPr>
          <w:t>10 As 328/2023- 44 - html</w:t>
        </w:r>
      </w:hyperlink>
    </w:p>
  </w:footnote>
  <w:footnote w:id="5">
    <w:p w14:paraId="22F9370A" w14:textId="5FBD1948" w:rsidR="00AC2545" w:rsidRPr="006F3F25" w:rsidRDefault="00AC2545">
      <w:pPr>
        <w:pStyle w:val="Textpoznpodarou"/>
        <w:rPr>
          <w:rFonts w:ascii="Arial" w:hAnsi="Arial" w:cs="Arial"/>
          <w:szCs w:val="18"/>
          <w:lang w:val="cs-CZ"/>
        </w:rPr>
      </w:pPr>
      <w:r w:rsidRPr="006F3F25">
        <w:rPr>
          <w:rStyle w:val="Znakapoznpodarou"/>
          <w:rFonts w:ascii="Arial" w:hAnsi="Arial" w:cs="Arial"/>
          <w:szCs w:val="18"/>
        </w:rPr>
        <w:footnoteRef/>
      </w:r>
      <w:r w:rsidRPr="006F3F25">
        <w:rPr>
          <w:rFonts w:ascii="Arial" w:hAnsi="Arial" w:cs="Arial"/>
          <w:szCs w:val="18"/>
          <w:lang w:val="de-AT"/>
        </w:rPr>
        <w:t xml:space="preserve"> </w:t>
      </w:r>
      <w:r w:rsidR="00910F1B" w:rsidRPr="006F3F25">
        <w:rPr>
          <w:rFonts w:ascii="Arial" w:hAnsi="Arial" w:cs="Arial"/>
          <w:szCs w:val="18"/>
          <w:lang w:val="de-AT"/>
        </w:rPr>
        <w:t xml:space="preserve">Viz </w:t>
      </w:r>
      <w:hyperlink r:id="rId3" w:history="1">
        <w:r w:rsidRPr="006F3F25">
          <w:rPr>
            <w:rStyle w:val="Hypertextovodkaz"/>
            <w:rFonts w:ascii="Arial" w:hAnsi="Arial" w:cs="Arial"/>
            <w:szCs w:val="18"/>
            <w:lang w:val="cs-CZ"/>
          </w:rPr>
          <w:t>31 Af 40/2022- 136 - html</w:t>
        </w:r>
      </w:hyperlink>
    </w:p>
  </w:footnote>
  <w:footnote w:id="6">
    <w:p w14:paraId="10C552F4" w14:textId="77777777" w:rsidR="002A326F" w:rsidRPr="00CD03E4" w:rsidRDefault="002A326F" w:rsidP="002A326F">
      <w:pPr>
        <w:pStyle w:val="Textpoznpodarou"/>
        <w:rPr>
          <w:rFonts w:ascii="Arial" w:hAnsi="Arial" w:cs="Arial"/>
          <w:szCs w:val="18"/>
          <w:lang w:val="cs-CZ"/>
        </w:rPr>
      </w:pPr>
      <w:r w:rsidRPr="00CD03E4">
        <w:rPr>
          <w:rStyle w:val="Znakapoznpodarou"/>
          <w:rFonts w:ascii="Arial" w:hAnsi="Arial" w:cs="Arial"/>
          <w:szCs w:val="18"/>
        </w:rPr>
        <w:footnoteRef/>
      </w:r>
      <w:r w:rsidRPr="00CD03E4">
        <w:rPr>
          <w:rFonts w:ascii="Arial" w:hAnsi="Arial" w:cs="Arial"/>
          <w:szCs w:val="18"/>
          <w:lang w:val="cs-CZ"/>
        </w:rPr>
        <w:t xml:space="preserve"> </w:t>
      </w:r>
      <w:r w:rsidRPr="00CD03E4">
        <w:rPr>
          <w:rFonts w:ascii="Arial" w:eastAsia="Calibri" w:hAnsi="Arial" w:cs="Arial"/>
          <w:szCs w:val="18"/>
          <w:lang w:val="cs-CZ"/>
        </w:rPr>
        <w:t xml:space="preserve">Viz </w:t>
      </w:r>
      <w:hyperlink r:id="rId4" w:history="1">
        <w:r w:rsidRPr="00CD03E4">
          <w:rPr>
            <w:rStyle w:val="Hypertextovodkaz"/>
            <w:rFonts w:ascii="Arial" w:eastAsia="Calibri" w:hAnsi="Arial" w:cs="Arial"/>
            <w:color w:val="000000"/>
            <w:szCs w:val="18"/>
            <w:lang w:val="cs-CZ"/>
          </w:rPr>
          <w:t>ROZHODNUTÍ KOMISE (EU) 2019/70</w:t>
        </w:r>
      </w:hyperlink>
      <w:r w:rsidRPr="00CD03E4">
        <w:rPr>
          <w:rFonts w:ascii="Arial" w:eastAsia="Calibri" w:hAnsi="Arial" w:cs="Arial"/>
          <w:szCs w:val="18"/>
          <w:lang w:val="cs-CZ"/>
        </w:rPr>
        <w:t xml:space="preserve"> ze dne 11. ledna 2019, kterým se stanoví kritéria ekoznačky EU pro grafický papír a pro hedvábný papír a produkty z hedvábného papíru (oznámeno pod číslem C(2019); a další informace: </w:t>
      </w:r>
      <w:hyperlink r:id="rId5" w:history="1">
        <w:r w:rsidRPr="00CD03E4">
          <w:rPr>
            <w:rStyle w:val="Hypertextovodkaz"/>
            <w:rFonts w:ascii="Arial" w:eastAsia="Calibri" w:hAnsi="Arial" w:cs="Arial"/>
            <w:color w:val="000000"/>
            <w:szCs w:val="18"/>
            <w:lang w:val="cs-CZ"/>
          </w:rPr>
          <w:t>Papir_ekoznacky_fakt_sheet_graficky_a_tissue_papir.pdf</w:t>
        </w:r>
      </w:hyperlink>
    </w:p>
  </w:footnote>
  <w:footnote w:id="7">
    <w:p w14:paraId="23594819" w14:textId="77777777" w:rsidR="009F0F17" w:rsidRPr="006109DC" w:rsidRDefault="009F0F17" w:rsidP="009F0F17">
      <w:pPr>
        <w:pStyle w:val="Textpoznpodarou"/>
        <w:rPr>
          <w:rFonts w:ascii="Arial" w:hAnsi="Arial" w:cs="Arial"/>
          <w:sz w:val="20"/>
          <w:szCs w:val="20"/>
          <w:lang w:val="cs-CZ"/>
        </w:rPr>
      </w:pPr>
      <w:r w:rsidRPr="00F15C89">
        <w:rPr>
          <w:rStyle w:val="Znakapoznpodarou"/>
          <w:rFonts w:ascii="Arial" w:hAnsi="Arial" w:cs="Arial"/>
          <w:sz w:val="20"/>
          <w:szCs w:val="20"/>
        </w:rPr>
        <w:footnoteRef/>
      </w:r>
      <w:r w:rsidRPr="006109DC">
        <w:rPr>
          <w:rFonts w:ascii="Arial" w:hAnsi="Arial" w:cs="Arial"/>
          <w:sz w:val="20"/>
          <w:szCs w:val="20"/>
          <w:lang w:val="cs-CZ"/>
        </w:rPr>
        <w:t xml:space="preserve"> Konsolidované znění nařízení (EU) č. 2018/848, o ekologické produkci, použitelné ke dni přijetí usnesení vlády je dostupné zde: </w:t>
      </w:r>
      <w:hyperlink r:id="rId6" w:history="1">
        <w:r w:rsidRPr="006109DC">
          <w:rPr>
            <w:rStyle w:val="Hypertextovodkaz"/>
            <w:rFonts w:ascii="Arial" w:hAnsi="Arial" w:cs="Arial"/>
            <w:sz w:val="20"/>
            <w:szCs w:val="20"/>
            <w:lang w:val="cs-CZ"/>
          </w:rPr>
          <w:t>CL2018R0848CS0040010.0001_cp 1..1</w:t>
        </w:r>
      </w:hyperlink>
      <w:r w:rsidRPr="006109DC">
        <w:rPr>
          <w:rFonts w:ascii="Arial" w:hAnsi="Arial" w:cs="Arial"/>
          <w:sz w:val="20"/>
          <w:szCs w:val="20"/>
          <w:lang w:val="cs-CZ"/>
        </w:rPr>
        <w:t xml:space="preserve">, kompletní přehled aktuálně platných právních předpisů pro ekologickou produkci je na následujícím odkazu: </w:t>
      </w:r>
      <w:hyperlink r:id="rId7" w:history="1">
        <w:r w:rsidRPr="006109DC">
          <w:rPr>
            <w:rStyle w:val="Hypertextovodkaz"/>
            <w:rFonts w:ascii="Arial" w:hAnsi="Arial" w:cs="Arial"/>
            <w:sz w:val="20"/>
            <w:szCs w:val="20"/>
            <w:lang w:val="cs-CZ"/>
          </w:rPr>
          <w:t>Zákony a nařízení | MZe</w:t>
        </w:r>
      </w:hyperlink>
    </w:p>
  </w:footnote>
  <w:footnote w:id="8">
    <w:p w14:paraId="5375AA06" w14:textId="77777777" w:rsidR="00F13BB9" w:rsidRPr="00B8788C" w:rsidRDefault="00F13BB9" w:rsidP="00F13BB9">
      <w:pPr>
        <w:pStyle w:val="Textpoznpodarou"/>
        <w:rPr>
          <w:rFonts w:ascii="Arial" w:hAnsi="Arial" w:cs="Arial"/>
          <w:szCs w:val="18"/>
          <w:lang w:val="cs-CZ"/>
        </w:rPr>
      </w:pPr>
      <w:r w:rsidRPr="00B8788C">
        <w:rPr>
          <w:rStyle w:val="Znakapoznpodarou"/>
          <w:rFonts w:ascii="Arial" w:hAnsi="Arial" w:cs="Arial"/>
          <w:szCs w:val="18"/>
        </w:rPr>
        <w:footnoteRef/>
      </w:r>
      <w:r w:rsidRPr="00B8788C">
        <w:rPr>
          <w:rFonts w:ascii="Arial" w:hAnsi="Arial" w:cs="Arial"/>
          <w:szCs w:val="18"/>
          <w:lang w:val="cs-CZ"/>
        </w:rPr>
        <w:t xml:space="preserve"> Viz: </w:t>
      </w:r>
      <w:hyperlink r:id="rId8" w:history="1">
        <w:r w:rsidRPr="00B8788C">
          <w:rPr>
            <w:rStyle w:val="Hypertextovodkaz"/>
            <w:rFonts w:ascii="Arial" w:hAnsi="Arial" w:cs="Arial"/>
            <w:color w:val="auto"/>
            <w:szCs w:val="18"/>
            <w:lang w:val="cs-CZ"/>
          </w:rPr>
          <w:t>Biopotraviny míří do veřejného stravování. Většina Čechů změnu vítá | MyJsmeBio.cz - Nakupujte BIO s chutí...</w:t>
        </w:r>
      </w:hyperlink>
    </w:p>
  </w:footnote>
  <w:footnote w:id="9">
    <w:p w14:paraId="38A323A5" w14:textId="3D92B8C5" w:rsidR="00E92166" w:rsidRPr="006A6192" w:rsidRDefault="00E92166" w:rsidP="000B14B4">
      <w:pPr>
        <w:pStyle w:val="Textpoznpodarou"/>
        <w:rPr>
          <w:rFonts w:ascii="Arial" w:hAnsi="Arial" w:cs="Arial"/>
          <w:szCs w:val="18"/>
          <w:lang w:val="cs-CZ"/>
        </w:rPr>
      </w:pPr>
      <w:r w:rsidRPr="006A6192">
        <w:rPr>
          <w:rStyle w:val="Znakapoznpodarou"/>
          <w:rFonts w:ascii="Arial" w:hAnsi="Arial" w:cs="Arial"/>
          <w:szCs w:val="18"/>
        </w:rPr>
        <w:footnoteRef/>
      </w:r>
      <w:r w:rsidRPr="006A6192">
        <w:rPr>
          <w:rFonts w:ascii="Arial" w:hAnsi="Arial" w:cs="Arial"/>
          <w:szCs w:val="18"/>
          <w:lang w:val="cs-CZ"/>
        </w:rPr>
        <w:t xml:space="preserve"> </w:t>
      </w:r>
      <w:hyperlink r:id="rId9" w:history="1">
        <w:r w:rsidRPr="006A6192">
          <w:rPr>
            <w:rStyle w:val="Hypertextovodkaz"/>
            <w:rFonts w:ascii="Arial" w:hAnsi="Arial" w:cs="Arial"/>
            <w:szCs w:val="18"/>
            <w:lang w:val="cs-CZ"/>
          </w:rPr>
          <w:t>Mapa českých biopotravin - Kde-lovime.bio</w:t>
        </w:r>
      </w:hyperlink>
    </w:p>
  </w:footnote>
  <w:footnote w:id="10">
    <w:p w14:paraId="4C0CA34D" w14:textId="663959E3" w:rsidR="00EB7529" w:rsidRPr="006A6192" w:rsidRDefault="00EB7529" w:rsidP="000B14B4">
      <w:pPr>
        <w:pStyle w:val="Textpoznpodarou"/>
        <w:rPr>
          <w:rFonts w:ascii="Arial" w:hAnsi="Arial" w:cs="Arial"/>
          <w:szCs w:val="18"/>
          <w:lang w:val="cs-CZ"/>
        </w:rPr>
      </w:pPr>
      <w:r w:rsidRPr="006A6192">
        <w:rPr>
          <w:rStyle w:val="Znakapoznpodarou"/>
          <w:rFonts w:ascii="Arial" w:hAnsi="Arial" w:cs="Arial"/>
          <w:szCs w:val="18"/>
        </w:rPr>
        <w:footnoteRef/>
      </w:r>
      <w:r w:rsidRPr="006A6192">
        <w:rPr>
          <w:rFonts w:ascii="Arial" w:hAnsi="Arial" w:cs="Arial"/>
          <w:szCs w:val="18"/>
          <w:lang w:val="cs-CZ"/>
        </w:rPr>
        <w:t xml:space="preserve"> </w:t>
      </w:r>
      <w:hyperlink r:id="rId10" w:history="1">
        <w:r w:rsidRPr="006A6192">
          <w:rPr>
            <w:rStyle w:val="Hypertextovodkaz"/>
            <w:rFonts w:ascii="Arial" w:hAnsi="Arial" w:cs="Arial"/>
            <w:szCs w:val="18"/>
            <w:lang w:val="cs-CZ"/>
          </w:rPr>
          <w:t>www.eagri.cz/rep</w:t>
        </w:r>
      </w:hyperlink>
    </w:p>
  </w:footnote>
  <w:footnote w:id="11">
    <w:p w14:paraId="3C8BBA6B" w14:textId="6186FB87" w:rsidR="00C64391" w:rsidRPr="006A6192" w:rsidRDefault="00C64391">
      <w:pPr>
        <w:pStyle w:val="Textpoznpodarou"/>
        <w:rPr>
          <w:rFonts w:ascii="Arial" w:hAnsi="Arial" w:cs="Arial"/>
          <w:szCs w:val="18"/>
          <w:lang w:val="cs-CZ"/>
        </w:rPr>
      </w:pPr>
      <w:r w:rsidRPr="006A6192">
        <w:rPr>
          <w:rStyle w:val="Znakapoznpodarou"/>
          <w:rFonts w:ascii="Arial" w:hAnsi="Arial" w:cs="Arial"/>
          <w:szCs w:val="18"/>
        </w:rPr>
        <w:footnoteRef/>
      </w:r>
      <w:r w:rsidRPr="006A6192">
        <w:rPr>
          <w:rFonts w:ascii="Arial" w:hAnsi="Arial" w:cs="Arial"/>
          <w:szCs w:val="18"/>
        </w:rPr>
        <w:t xml:space="preserve"> </w:t>
      </w:r>
      <w:r w:rsidRPr="006A6192">
        <w:rPr>
          <w:rFonts w:ascii="Arial" w:hAnsi="Arial" w:cs="Arial"/>
          <w:szCs w:val="18"/>
          <w:lang w:val="cs-CZ"/>
        </w:rPr>
        <w:t xml:space="preserve">GPP kritéria jsou dostupná zde: </w:t>
      </w:r>
      <w:hyperlink r:id="rId11" w:history="1">
        <w:r w:rsidRPr="006A6192">
          <w:rPr>
            <w:rStyle w:val="Hypertextovodkaz"/>
            <w:rFonts w:ascii="Arial" w:hAnsi="Arial" w:cs="Arial"/>
            <w:szCs w:val="18"/>
            <w:lang w:val="cs-CZ"/>
          </w:rPr>
          <w:t>Green Business – Knihovna</w:t>
        </w:r>
      </w:hyperlink>
    </w:p>
  </w:footnote>
  <w:footnote w:id="12">
    <w:p w14:paraId="2433E1AC" w14:textId="76D0EF11" w:rsidR="000B14B4" w:rsidRPr="006A6192" w:rsidRDefault="000B14B4" w:rsidP="000B14B4">
      <w:pPr>
        <w:pStyle w:val="Textpoznpodarou"/>
        <w:rPr>
          <w:rFonts w:ascii="Arial" w:hAnsi="Arial" w:cs="Arial"/>
          <w:szCs w:val="18"/>
          <w:lang w:val="cs-CZ"/>
        </w:rPr>
      </w:pPr>
      <w:r w:rsidRPr="006A6192">
        <w:rPr>
          <w:rStyle w:val="Znakapoznpodarou"/>
          <w:rFonts w:ascii="Arial" w:hAnsi="Arial" w:cs="Arial"/>
          <w:szCs w:val="18"/>
        </w:rPr>
        <w:footnoteRef/>
      </w:r>
      <w:r w:rsidRPr="006A6192">
        <w:rPr>
          <w:rFonts w:ascii="Arial" w:hAnsi="Arial" w:cs="Arial"/>
          <w:szCs w:val="18"/>
          <w:lang w:val="cs-CZ"/>
        </w:rPr>
        <w:t xml:space="preserve"> </w:t>
      </w:r>
      <w:hyperlink r:id="rId12">
        <w:r w:rsidRPr="006A6192">
          <w:rPr>
            <w:rStyle w:val="Hypertextovodkaz"/>
            <w:rFonts w:ascii="Arial" w:hAnsi="Arial" w:cs="Arial"/>
            <w:szCs w:val="18"/>
            <w:lang w:val="cs-CZ"/>
          </w:rPr>
          <w:t>Sezónní kalendář ovoce, zeleniny a brambor | MZe</w:t>
        </w:r>
      </w:hyperlink>
    </w:p>
  </w:footnote>
  <w:footnote w:id="13">
    <w:p w14:paraId="1C10CC80" w14:textId="77777777" w:rsidR="00012B38" w:rsidRPr="006109DC" w:rsidRDefault="00012B38" w:rsidP="00012B38">
      <w:pPr>
        <w:pStyle w:val="Textpoznpodarou"/>
        <w:rPr>
          <w:rFonts w:ascii="Arial" w:hAnsi="Arial" w:cs="Arial"/>
          <w:sz w:val="20"/>
          <w:szCs w:val="20"/>
          <w:lang w:val="cs-CZ"/>
        </w:rPr>
      </w:pPr>
      <w:r w:rsidRPr="006A6192">
        <w:rPr>
          <w:rStyle w:val="Znakapoznpodarou"/>
          <w:rFonts w:ascii="Arial" w:hAnsi="Arial" w:cs="Arial"/>
          <w:szCs w:val="18"/>
        </w:rPr>
        <w:footnoteRef/>
      </w:r>
      <w:r w:rsidRPr="006109DC">
        <w:rPr>
          <w:rFonts w:ascii="Arial" w:hAnsi="Arial" w:cs="Arial"/>
          <w:szCs w:val="18"/>
          <w:lang w:val="cs-CZ"/>
        </w:rPr>
        <w:t xml:space="preserve"> Viz </w:t>
      </w:r>
      <w:hyperlink r:id="rId13" w:history="1">
        <w:r w:rsidRPr="006109DC">
          <w:rPr>
            <w:rStyle w:val="Hypertextovodkaz"/>
            <w:rFonts w:ascii="Arial" w:hAnsi="Arial" w:cs="Arial"/>
            <w:szCs w:val="18"/>
            <w:lang w:val="cs-CZ"/>
          </w:rPr>
          <w:t>Sezónní kalendář ovoce, zeleniny a brambor | MZe</w:t>
        </w:r>
      </w:hyperlink>
    </w:p>
  </w:footnote>
  <w:footnote w:id="14">
    <w:p w14:paraId="37653F41" w14:textId="5F0B486D" w:rsidR="00711AE8" w:rsidRPr="006A6192" w:rsidRDefault="00711AE8" w:rsidP="00711AE8">
      <w:pPr>
        <w:spacing w:after="0" w:line="240" w:lineRule="auto"/>
        <w:rPr>
          <w:rFonts w:ascii="Arial" w:hAnsi="Arial" w:cs="Arial"/>
          <w:sz w:val="18"/>
          <w:szCs w:val="18"/>
        </w:rPr>
      </w:pPr>
      <w:r w:rsidRPr="006A6192">
        <w:rPr>
          <w:rStyle w:val="Znakapoznpodarou"/>
          <w:rFonts w:ascii="Arial" w:hAnsi="Arial" w:cs="Arial"/>
          <w:sz w:val="18"/>
          <w:szCs w:val="18"/>
        </w:rPr>
        <w:footnoteRef/>
      </w:r>
      <w:r w:rsidRPr="006A6192">
        <w:rPr>
          <w:rFonts w:ascii="Arial" w:hAnsi="Arial" w:cs="Arial"/>
          <w:sz w:val="18"/>
          <w:szCs w:val="18"/>
        </w:rPr>
        <w:t xml:space="preserve"> Osm klíčových požadavků úmluv MOP je výslovně zakotveno v dokumentech této organizace: č. 29 o nucené práci (1930), č. 87 o svobodě sdružování a ochraně práva organizovat se (1948), č. 98 o právu se organizovat </w:t>
      </w:r>
      <w:r w:rsidR="00477383" w:rsidRPr="006A6192">
        <w:rPr>
          <w:rFonts w:ascii="Arial" w:hAnsi="Arial" w:cs="Arial"/>
          <w:sz w:val="18"/>
          <w:szCs w:val="18"/>
        </w:rPr>
        <w:t>a</w:t>
      </w:r>
      <w:r w:rsidR="00477383">
        <w:rPr>
          <w:rFonts w:ascii="Arial" w:hAnsi="Arial" w:cs="Arial"/>
          <w:sz w:val="18"/>
          <w:szCs w:val="18"/>
        </w:rPr>
        <w:t> </w:t>
      </w:r>
      <w:r w:rsidR="00477383" w:rsidRPr="006A6192">
        <w:rPr>
          <w:rFonts w:ascii="Arial" w:hAnsi="Arial" w:cs="Arial"/>
          <w:sz w:val="18"/>
          <w:szCs w:val="18"/>
        </w:rPr>
        <w:t>o</w:t>
      </w:r>
      <w:r w:rsidR="00477383">
        <w:rPr>
          <w:rFonts w:ascii="Arial" w:hAnsi="Arial" w:cs="Arial"/>
          <w:sz w:val="18"/>
          <w:szCs w:val="18"/>
        </w:rPr>
        <w:t> </w:t>
      </w:r>
      <w:r w:rsidRPr="006A6192">
        <w:rPr>
          <w:rFonts w:ascii="Arial" w:hAnsi="Arial" w:cs="Arial"/>
          <w:sz w:val="18"/>
          <w:szCs w:val="18"/>
        </w:rPr>
        <w:t xml:space="preserve">kolektivním vyjednávání (1949), č. 105 o odstranění nucené práce (1959), č. 138 o minimálním věku (1973), č. 182 o nejhorších formách dětské práce (1999), č. 100 o stejném odměňování (1951) a č. 111 o diskriminaci (1958). </w:t>
      </w:r>
    </w:p>
  </w:footnote>
  <w:footnote w:id="15">
    <w:p w14:paraId="6408925A" w14:textId="77777777" w:rsidR="00F13BB9" w:rsidRPr="00CB32EA" w:rsidRDefault="00F13BB9" w:rsidP="00F13BB9">
      <w:pPr>
        <w:pStyle w:val="Odstavecseseznamem"/>
        <w:spacing w:after="0" w:line="240" w:lineRule="auto"/>
        <w:ind w:left="0"/>
        <w:jc w:val="both"/>
        <w:rPr>
          <w:rFonts w:ascii="Arial" w:hAnsi="Arial" w:cs="Arial"/>
          <w:sz w:val="20"/>
          <w:szCs w:val="20"/>
        </w:rPr>
      </w:pPr>
      <w:r w:rsidRPr="006A6192">
        <w:rPr>
          <w:rStyle w:val="Znakapoznpodarou"/>
          <w:rFonts w:ascii="Arial" w:hAnsi="Arial" w:cs="Arial"/>
          <w:sz w:val="18"/>
          <w:szCs w:val="18"/>
        </w:rPr>
        <w:footnoteRef/>
      </w:r>
      <w:r w:rsidRPr="006A6192">
        <w:rPr>
          <w:rFonts w:ascii="Arial" w:hAnsi="Arial" w:cs="Arial"/>
          <w:sz w:val="18"/>
          <w:szCs w:val="18"/>
        </w:rPr>
        <w:t xml:space="preserve"> čl. 6 směrnice Rady 1999/74/ES ze dne 19. července 1999, kterou se stanoví minimální požadavky na ochranu nosnic.</w:t>
      </w:r>
    </w:p>
  </w:footnote>
  <w:footnote w:id="16">
    <w:p w14:paraId="63F3F710" w14:textId="4EF2608E" w:rsidR="006253B9" w:rsidRPr="00D04AAE" w:rsidRDefault="006253B9" w:rsidP="003753C5">
      <w:pPr>
        <w:pStyle w:val="Textpoznpodarou"/>
        <w:jc w:val="left"/>
        <w:rPr>
          <w:rFonts w:ascii="Arial" w:hAnsi="Arial" w:cs="Arial"/>
          <w:szCs w:val="18"/>
          <w:lang w:val="cs-CZ"/>
        </w:rPr>
      </w:pPr>
      <w:r w:rsidRPr="00D04AAE">
        <w:rPr>
          <w:rStyle w:val="Znakapoznpodarou"/>
          <w:rFonts w:ascii="Arial" w:hAnsi="Arial" w:cs="Arial"/>
          <w:szCs w:val="18"/>
        </w:rPr>
        <w:footnoteRef/>
      </w:r>
      <w:r w:rsidRPr="00D04AAE">
        <w:rPr>
          <w:rFonts w:ascii="Arial" w:hAnsi="Arial" w:cs="Arial"/>
          <w:szCs w:val="18"/>
          <w:lang w:val="cs-CZ"/>
        </w:rPr>
        <w:t xml:space="preserve"> Seznam schválených podniků je dostupný zde: </w:t>
      </w:r>
      <w:hyperlink r:id="rId14" w:anchor="!/search" w:history="1">
        <w:r w:rsidR="003753C5" w:rsidRPr="00D04AAE">
          <w:rPr>
            <w:rStyle w:val="Hypertextovodkaz"/>
            <w:rFonts w:ascii="Arial" w:hAnsi="Arial" w:cs="Arial"/>
            <w:szCs w:val="18"/>
            <w:lang w:val="cs-CZ"/>
          </w:rPr>
          <w:t>https://webgate.ec.europa.eu/tracesnt/directory/listing/establishment/publication/index#!/search#!%2Fsearch%3FcountryCode=CH</w:t>
        </w:r>
      </w:hyperlink>
    </w:p>
  </w:footnote>
  <w:footnote w:id="17">
    <w:p w14:paraId="2159FFF9" w14:textId="77777777" w:rsidR="006253B9" w:rsidRPr="00076695" w:rsidRDefault="006253B9" w:rsidP="003753C5">
      <w:pPr>
        <w:pStyle w:val="Textpoznpodarou"/>
        <w:jc w:val="left"/>
        <w:rPr>
          <w:rFonts w:ascii="Arial" w:hAnsi="Arial" w:cs="Arial"/>
          <w:sz w:val="20"/>
          <w:szCs w:val="20"/>
          <w:lang w:val="cs-CZ"/>
        </w:rPr>
      </w:pPr>
      <w:r w:rsidRPr="00D04AAE">
        <w:rPr>
          <w:rStyle w:val="Znakapoznpodarou"/>
          <w:rFonts w:ascii="Arial" w:hAnsi="Arial" w:cs="Arial"/>
          <w:szCs w:val="18"/>
        </w:rPr>
        <w:footnoteRef/>
      </w:r>
      <w:r w:rsidRPr="00D04AAE">
        <w:rPr>
          <w:rFonts w:ascii="Arial" w:hAnsi="Arial" w:cs="Arial"/>
          <w:szCs w:val="18"/>
          <w:lang w:val="cs-CZ"/>
        </w:rPr>
        <w:t xml:space="preserve"> za leden až říjen 2024 bylo ze třetích zemí do ČR celkem dovezeno 9,6 %, a to z Ukrajiny</w:t>
      </w:r>
    </w:p>
  </w:footnote>
  <w:footnote w:id="18">
    <w:p w14:paraId="116E5997" w14:textId="01213DD1" w:rsidR="0042474C" w:rsidRPr="00E55D05" w:rsidRDefault="0042474C">
      <w:pPr>
        <w:pStyle w:val="Textpoznpodarou"/>
        <w:rPr>
          <w:rFonts w:ascii="Arial" w:eastAsiaTheme="minorHAnsi" w:hAnsi="Arial" w:cs="Arial"/>
          <w:szCs w:val="18"/>
          <w:lang w:val="cs-CZ" w:eastAsia="en-US"/>
        </w:rPr>
      </w:pPr>
      <w:r w:rsidRPr="00E55D05">
        <w:rPr>
          <w:rStyle w:val="Znakapoznpodarou"/>
          <w:rFonts w:ascii="Arial" w:hAnsi="Arial" w:cs="Arial"/>
          <w:szCs w:val="18"/>
        </w:rPr>
        <w:footnoteRef/>
      </w:r>
      <w:r w:rsidRPr="00E55D05">
        <w:rPr>
          <w:rFonts w:ascii="Arial" w:hAnsi="Arial" w:cs="Arial"/>
          <w:szCs w:val="18"/>
          <w:lang w:val="cs-CZ"/>
        </w:rPr>
        <w:t xml:space="preserve"> </w:t>
      </w:r>
      <w:r w:rsidRPr="00E55D05">
        <w:rPr>
          <w:rFonts w:ascii="Arial" w:eastAsiaTheme="minorHAnsi" w:hAnsi="Arial" w:cs="Arial"/>
          <w:szCs w:val="18"/>
          <w:lang w:val="cs-CZ" w:eastAsia="en-US"/>
        </w:rPr>
        <w:t>Oba CPV kódy jsou uvedeny v příloze č. 4 ZZVZ, a proto lze k zadávání těchto služeb využít rovněž zjednodušený režim dle § 129 a 129a ZZVZ.</w:t>
      </w:r>
    </w:p>
  </w:footnote>
  <w:footnote w:id="19">
    <w:p w14:paraId="2B317FF7" w14:textId="77777777" w:rsidR="00F13BB9" w:rsidRPr="00E55D05" w:rsidRDefault="00F13BB9" w:rsidP="00F13BB9">
      <w:pPr>
        <w:pStyle w:val="Textpoznpodarou"/>
        <w:rPr>
          <w:rFonts w:ascii="Arial" w:hAnsi="Arial" w:cs="Arial"/>
          <w:szCs w:val="18"/>
        </w:rPr>
      </w:pPr>
      <w:r w:rsidRPr="00E55D05">
        <w:rPr>
          <w:rStyle w:val="Znakapoznpodarou"/>
          <w:rFonts w:ascii="Arial" w:hAnsi="Arial" w:cs="Arial"/>
          <w:szCs w:val="18"/>
        </w:rPr>
        <w:footnoteRef/>
      </w:r>
      <w:r w:rsidRPr="00E55D05">
        <w:rPr>
          <w:rFonts w:ascii="Arial" w:hAnsi="Arial" w:cs="Arial"/>
          <w:szCs w:val="18"/>
        </w:rPr>
        <w:t xml:space="preserve"> Srov. GBD 2017 Diet Collaborators. Health effects of dietary risks in 195 countries, 1990-2017: a systematic analysis for the Global Burden of Disease Study 2017. Lancet Lond Engl. 2019;393(10184):1958-1972. doi:10.1016/S0140-6736(19)30041-8</w:t>
      </w:r>
    </w:p>
  </w:footnote>
  <w:footnote w:id="20">
    <w:p w14:paraId="2506F9E7" w14:textId="77777777" w:rsidR="00F13BB9" w:rsidRPr="00E55D05" w:rsidRDefault="00F13BB9" w:rsidP="00F13BB9">
      <w:pPr>
        <w:pStyle w:val="Textpoznpodarou"/>
        <w:rPr>
          <w:rFonts w:ascii="Arial" w:hAnsi="Arial" w:cs="Arial"/>
          <w:szCs w:val="18"/>
        </w:rPr>
      </w:pPr>
      <w:r w:rsidRPr="00E55D05">
        <w:rPr>
          <w:rStyle w:val="Znakapoznpodarou"/>
          <w:rFonts w:ascii="Arial" w:hAnsi="Arial" w:cs="Arial"/>
          <w:szCs w:val="18"/>
        </w:rPr>
        <w:footnoteRef/>
      </w:r>
      <w:r w:rsidRPr="00E55D05">
        <w:rPr>
          <w:rFonts w:ascii="Arial" w:hAnsi="Arial" w:cs="Arial"/>
          <w:szCs w:val="18"/>
        </w:rPr>
        <w:t xml:space="preserve"> Viz Česká internistická společnost, 29. 10. 2022: </w:t>
      </w:r>
      <w:hyperlink r:id="rId15" w:history="1">
        <w:r w:rsidRPr="00E55D05">
          <w:rPr>
            <w:rStyle w:val="Hypertextovodkaz"/>
            <w:rFonts w:ascii="Arial" w:eastAsia="Calibri" w:hAnsi="Arial" w:cs="Arial"/>
            <w:szCs w:val="18"/>
          </w:rPr>
          <w:t>https://www.nzip.cz/clanek/347-stravovani-a-kardiovaskularni-nemoci</w:t>
        </w:r>
      </w:hyperlink>
    </w:p>
  </w:footnote>
  <w:footnote w:id="21">
    <w:p w14:paraId="17ADDE39" w14:textId="77777777" w:rsidR="00F13BB9" w:rsidRPr="00E55D05" w:rsidRDefault="00F13BB9" w:rsidP="00F13BB9">
      <w:pPr>
        <w:pStyle w:val="Textpoznpodarou"/>
        <w:rPr>
          <w:rFonts w:ascii="Arial" w:hAnsi="Arial" w:cs="Arial"/>
          <w:szCs w:val="18"/>
        </w:rPr>
      </w:pPr>
      <w:r w:rsidRPr="00E55D05">
        <w:rPr>
          <w:rStyle w:val="Znakapoznpodarou"/>
          <w:rFonts w:ascii="Arial" w:hAnsi="Arial" w:cs="Arial"/>
          <w:szCs w:val="18"/>
        </w:rPr>
        <w:footnoteRef/>
      </w:r>
      <w:r w:rsidRPr="00E55D05">
        <w:rPr>
          <w:rFonts w:ascii="Arial" w:hAnsi="Arial" w:cs="Arial"/>
          <w:szCs w:val="18"/>
        </w:rPr>
        <w:t xml:space="preserve"> Viz </w:t>
      </w:r>
      <w:r w:rsidRPr="00E55D05">
        <w:rPr>
          <w:rFonts w:ascii="Arial" w:eastAsia="Calibri" w:hAnsi="Arial" w:cs="Arial"/>
          <w:szCs w:val="18"/>
        </w:rPr>
        <w:t xml:space="preserve">Doporučení Evropské kardiologické společnosti (European Society of Cardiology): </w:t>
      </w:r>
      <w:hyperlink r:id="rId16" w:history="1">
        <w:r w:rsidRPr="00E55D05">
          <w:rPr>
            <w:rStyle w:val="Hypertextovodkaz"/>
            <w:rFonts w:ascii="Arial" w:hAnsi="Arial" w:cs="Arial"/>
            <w:szCs w:val="18"/>
          </w:rPr>
          <w:t>Risk factor control: nutrition (escardio.org)</w:t>
        </w:r>
      </w:hyperlink>
    </w:p>
  </w:footnote>
  <w:footnote w:id="22">
    <w:p w14:paraId="0432F93E" w14:textId="77777777" w:rsidR="00F13BB9" w:rsidRPr="00E55D05" w:rsidRDefault="00F13BB9" w:rsidP="00F13BB9">
      <w:pPr>
        <w:pStyle w:val="Textpoznpodarou"/>
        <w:rPr>
          <w:rFonts w:ascii="Arial" w:hAnsi="Arial" w:cs="Arial"/>
          <w:szCs w:val="18"/>
        </w:rPr>
      </w:pPr>
      <w:r w:rsidRPr="00E55D05">
        <w:rPr>
          <w:rStyle w:val="Znakapoznpodarou"/>
          <w:rFonts w:ascii="Arial" w:hAnsi="Arial" w:cs="Arial"/>
          <w:szCs w:val="18"/>
        </w:rPr>
        <w:footnoteRef/>
      </w:r>
      <w:r w:rsidRPr="00E55D05">
        <w:rPr>
          <w:rFonts w:ascii="Arial" w:hAnsi="Arial" w:cs="Arial"/>
          <w:szCs w:val="18"/>
        </w:rPr>
        <w:t xml:space="preserve"> Viz WCRF International. Meat, fish, dairy and cancer risk. WCRF International. Published 2023b. Accessed December 21, 2023 https:// </w:t>
      </w:r>
      <w:hyperlink r:id="rId17" w:history="1">
        <w:r w:rsidRPr="00E55D05">
          <w:rPr>
            <w:rStyle w:val="Hypertextovodkaz"/>
            <w:rFonts w:ascii="Arial" w:hAnsi="Arial" w:cs="Arial"/>
            <w:szCs w:val="18"/>
          </w:rPr>
          <w:t>www.wcrf.org/risk-factors/meat-fish-dairy-and-cancer-risk/</w:t>
        </w:r>
      </w:hyperlink>
      <w:r w:rsidRPr="00E55D05">
        <w:rPr>
          <w:rFonts w:ascii="Arial" w:hAnsi="Arial" w:cs="Arial"/>
          <w:szCs w:val="18"/>
        </w:rPr>
        <w:t xml:space="preserve">, obdobně studie "European Prospective Investigation into Cancer and Nutrition" (EPIC) a Ústav zdravotnických informací a statistiky ČR, 17. 8. 2022: </w:t>
      </w:r>
      <w:hyperlink r:id="rId18" w:history="1">
        <w:r w:rsidRPr="00E55D05">
          <w:rPr>
            <w:rStyle w:val="Hypertextovodkaz"/>
            <w:rFonts w:ascii="Arial" w:eastAsia="Calibri" w:hAnsi="Arial" w:cs="Arial"/>
            <w:szCs w:val="18"/>
          </w:rPr>
          <w:t>https://www.nzip.cz/clanek/453-rakovina-tlusteho-streva-a-konecniku-prevence</w:t>
        </w:r>
      </w:hyperlink>
    </w:p>
  </w:footnote>
  <w:footnote w:id="23">
    <w:p w14:paraId="32906C68" w14:textId="77777777" w:rsidR="00F13BB9" w:rsidRPr="00E55D05" w:rsidRDefault="00F13BB9" w:rsidP="00F13BB9">
      <w:pPr>
        <w:pStyle w:val="Textpoznpodarou"/>
        <w:rPr>
          <w:rFonts w:ascii="Arial" w:hAnsi="Arial" w:cs="Arial"/>
          <w:szCs w:val="18"/>
        </w:rPr>
      </w:pPr>
      <w:r w:rsidRPr="00E55D05">
        <w:rPr>
          <w:rStyle w:val="Znakapoznpodarou"/>
          <w:rFonts w:ascii="Arial" w:hAnsi="Arial" w:cs="Arial"/>
          <w:szCs w:val="18"/>
        </w:rPr>
        <w:footnoteRef/>
      </w:r>
      <w:r w:rsidRPr="00E55D05">
        <w:rPr>
          <w:rFonts w:ascii="Arial" w:hAnsi="Arial" w:cs="Arial"/>
          <w:szCs w:val="18"/>
        </w:rPr>
        <w:t xml:space="preserve"> Viz </w:t>
      </w:r>
      <w:hyperlink r:id="rId19">
        <w:r w:rsidRPr="00E55D05">
          <w:rPr>
            <w:rStyle w:val="Hypertextovodkaz"/>
            <w:rFonts w:ascii="Arial" w:eastAsia="Calibri" w:hAnsi="Arial" w:cs="Arial"/>
            <w:szCs w:val="18"/>
          </w:rPr>
          <w:t>Red Meat and Processed Meat (IARC Monographs on the Evaluation of Carcinogenic Risks to Humans Volume)</w:t>
        </w:r>
      </w:hyperlink>
    </w:p>
  </w:footnote>
  <w:footnote w:id="24">
    <w:p w14:paraId="699BA40D" w14:textId="77777777" w:rsidR="00F13BB9" w:rsidRPr="00E55D05" w:rsidRDefault="00F13BB9" w:rsidP="00F13BB9">
      <w:pPr>
        <w:spacing w:after="0" w:line="240" w:lineRule="auto"/>
        <w:rPr>
          <w:rFonts w:ascii="Arial" w:eastAsia="Calibri" w:hAnsi="Arial" w:cs="Arial"/>
          <w:sz w:val="18"/>
          <w:szCs w:val="18"/>
          <w:u w:val="single"/>
        </w:rPr>
      </w:pPr>
      <w:r w:rsidRPr="00E55D05">
        <w:rPr>
          <w:rStyle w:val="Znakapoznpodarou"/>
          <w:rFonts w:ascii="Arial" w:hAnsi="Arial" w:cs="Arial"/>
          <w:sz w:val="18"/>
          <w:szCs w:val="18"/>
        </w:rPr>
        <w:footnoteRef/>
      </w:r>
      <w:r w:rsidRPr="00E55D05">
        <w:rPr>
          <w:rFonts w:ascii="Arial" w:hAnsi="Arial" w:cs="Arial"/>
          <w:sz w:val="18"/>
          <w:szCs w:val="18"/>
        </w:rPr>
        <w:t xml:space="preserve"> Viz </w:t>
      </w:r>
      <w:hyperlink r:id="rId20">
        <w:r w:rsidRPr="00E55D05">
          <w:rPr>
            <w:rStyle w:val="Hypertextovodkaz"/>
            <w:rFonts w:ascii="Arial" w:eastAsia="Calibri" w:hAnsi="Arial" w:cs="Arial"/>
            <w:sz w:val="18"/>
            <w:szCs w:val="18"/>
          </w:rPr>
          <w:t>Ročenka ÚZIS</w:t>
        </w:r>
      </w:hyperlink>
    </w:p>
  </w:footnote>
  <w:footnote w:id="25">
    <w:p w14:paraId="12F17180" w14:textId="77777777" w:rsidR="00F13BB9" w:rsidRPr="00CB32EA" w:rsidRDefault="00F13BB9" w:rsidP="00F13BB9">
      <w:pPr>
        <w:spacing w:after="0" w:line="240" w:lineRule="auto"/>
        <w:rPr>
          <w:rFonts w:ascii="Arial" w:eastAsia="Calibri" w:hAnsi="Arial" w:cs="Arial"/>
          <w:color w:val="0563C1"/>
          <w:sz w:val="20"/>
          <w:szCs w:val="20"/>
          <w:u w:val="single"/>
        </w:rPr>
      </w:pPr>
      <w:r w:rsidRPr="00E55D05">
        <w:rPr>
          <w:rStyle w:val="Znakapoznpodarou"/>
          <w:rFonts w:ascii="Arial" w:hAnsi="Arial" w:cs="Arial"/>
          <w:sz w:val="18"/>
          <w:szCs w:val="18"/>
        </w:rPr>
        <w:footnoteRef/>
      </w:r>
      <w:r w:rsidRPr="00E55D05">
        <w:rPr>
          <w:rFonts w:ascii="Arial" w:hAnsi="Arial" w:cs="Arial"/>
          <w:sz w:val="18"/>
          <w:szCs w:val="18"/>
        </w:rPr>
        <w:t xml:space="preserve"> Viz Landmark studie J. Poore a T. Nemecek </w:t>
      </w:r>
      <w:hyperlink r:id="rId21">
        <w:r w:rsidRPr="00E55D05">
          <w:rPr>
            <w:rStyle w:val="Hypertextovodkaz"/>
            <w:rFonts w:ascii="Arial" w:eastAsia="Calibri" w:hAnsi="Arial" w:cs="Arial"/>
            <w:sz w:val="18"/>
            <w:szCs w:val="18"/>
          </w:rPr>
          <w:t>Reducing food’s environmental impacts through producers and consumers | Science</w:t>
        </w:r>
      </w:hyperlink>
    </w:p>
  </w:footnote>
  <w:footnote w:id="26">
    <w:p w14:paraId="539BE8C1" w14:textId="77777777" w:rsidR="00F13BB9" w:rsidRPr="000A0FF8" w:rsidRDefault="00F13BB9" w:rsidP="00F13BB9">
      <w:pPr>
        <w:autoSpaceDE w:val="0"/>
        <w:autoSpaceDN w:val="0"/>
        <w:adjustRightInd w:val="0"/>
        <w:spacing w:after="0" w:line="240" w:lineRule="auto"/>
        <w:rPr>
          <w:rFonts w:ascii="Arial" w:hAnsi="Arial" w:cs="Arial"/>
          <w:sz w:val="18"/>
          <w:szCs w:val="18"/>
        </w:rPr>
      </w:pPr>
      <w:r w:rsidRPr="000A0FF8">
        <w:rPr>
          <w:rStyle w:val="Znakapoznpodarou"/>
          <w:rFonts w:ascii="Arial" w:hAnsi="Arial" w:cs="Arial"/>
          <w:sz w:val="18"/>
          <w:szCs w:val="18"/>
        </w:rPr>
        <w:footnoteRef/>
      </w:r>
      <w:r w:rsidRPr="000A0FF8">
        <w:rPr>
          <w:rFonts w:ascii="Arial" w:hAnsi="Arial" w:cs="Arial"/>
          <w:sz w:val="18"/>
          <w:szCs w:val="18"/>
        </w:rPr>
        <w:t xml:space="preserve"> Crippa, M., Solazzo, E., Guizzardi, D., Monforti-Ferrario, F., Tubiello, F. N., &amp; Leip, A. J. N. F. (2021) Food systems are responsible for a third of global anthropogenic GHG emissions. Nature Food, 2(3), 198-209</w:t>
      </w:r>
    </w:p>
  </w:footnote>
  <w:footnote w:id="27">
    <w:p w14:paraId="1F3D293B" w14:textId="534318DB" w:rsidR="00F13BB9" w:rsidRPr="000A0FF8" w:rsidRDefault="00F13BB9" w:rsidP="00F13BB9">
      <w:pPr>
        <w:pStyle w:val="Textpoznpodarou"/>
        <w:rPr>
          <w:rFonts w:ascii="Arial" w:hAnsi="Arial" w:cs="Arial"/>
          <w:szCs w:val="18"/>
          <w:lang w:val="cs-CZ"/>
        </w:rPr>
      </w:pPr>
      <w:r w:rsidRPr="000A0FF8">
        <w:rPr>
          <w:rStyle w:val="Znakapoznpodarou"/>
          <w:rFonts w:ascii="Arial" w:hAnsi="Arial" w:cs="Arial"/>
          <w:szCs w:val="18"/>
        </w:rPr>
        <w:footnoteRef/>
      </w:r>
      <w:r w:rsidRPr="000A0FF8">
        <w:rPr>
          <w:rFonts w:ascii="Arial" w:hAnsi="Arial" w:cs="Arial"/>
          <w:szCs w:val="18"/>
          <w:lang w:val="cs-CZ"/>
        </w:rPr>
        <w:t xml:space="preserve"> Sdělení Komise Evropskému parlamentu, Radě, </w:t>
      </w:r>
      <w:r w:rsidR="00D43500" w:rsidRPr="000A0FF8">
        <w:rPr>
          <w:rFonts w:ascii="Arial" w:hAnsi="Arial" w:cs="Arial"/>
          <w:szCs w:val="18"/>
          <w:lang w:val="cs-CZ"/>
        </w:rPr>
        <w:t>Evropskému</w:t>
      </w:r>
      <w:r w:rsidRPr="000A0FF8">
        <w:rPr>
          <w:rFonts w:ascii="Arial" w:hAnsi="Arial" w:cs="Arial"/>
          <w:szCs w:val="18"/>
          <w:lang w:val="cs-CZ"/>
        </w:rPr>
        <w:t xml:space="preserve"> hospodářskému a sociálnímu výboru a Výboru regionů: Strategie „od zemědělce ke spotřebiteli“ pro spravedlivé, zdravé a ekologické potravinové systémy COM (2020)381 final ze dne 20.5.2020</w:t>
      </w:r>
    </w:p>
  </w:footnote>
  <w:footnote w:id="28">
    <w:p w14:paraId="08636C3E" w14:textId="77777777" w:rsidR="00F13BB9" w:rsidRPr="000A0FF8" w:rsidRDefault="00F13BB9" w:rsidP="00F13BB9">
      <w:pPr>
        <w:pStyle w:val="Textpoznpodarou"/>
        <w:rPr>
          <w:rFonts w:ascii="Arial" w:hAnsi="Arial" w:cs="Arial"/>
          <w:szCs w:val="18"/>
          <w:lang w:val="cs-CZ"/>
        </w:rPr>
      </w:pPr>
      <w:r w:rsidRPr="000A0FF8">
        <w:rPr>
          <w:rStyle w:val="Znakapoznpodarou"/>
          <w:rFonts w:ascii="Arial" w:hAnsi="Arial" w:cs="Arial"/>
          <w:szCs w:val="18"/>
        </w:rPr>
        <w:footnoteRef/>
      </w:r>
      <w:r w:rsidRPr="000A0FF8">
        <w:rPr>
          <w:rFonts w:ascii="Arial" w:hAnsi="Arial" w:cs="Arial"/>
          <w:szCs w:val="18"/>
          <w:lang w:val="cs-CZ"/>
        </w:rPr>
        <w:t xml:space="preserve"> EEA (2019), Annual European Union greenhouse gas inventory 1990-2017 a Inventory report 2019 („Výroční zpráva o emisích skleníkových plynů v Evropské unii v období 1990–2017 a zpráva o této inventuře z roku 2019“). Tyto údaje nezahrnují emise CO2 z využívání půdy a změny ve využívání půdy.</w:t>
      </w:r>
    </w:p>
  </w:footnote>
  <w:footnote w:id="29">
    <w:p w14:paraId="693C35A7" w14:textId="77777777" w:rsidR="00F13BB9" w:rsidRPr="000A0FF8" w:rsidRDefault="00F13BB9" w:rsidP="00F13BB9">
      <w:pPr>
        <w:pStyle w:val="Textpoznpodarou"/>
        <w:rPr>
          <w:rFonts w:ascii="Arial" w:hAnsi="Arial" w:cs="Arial"/>
          <w:szCs w:val="18"/>
          <w:lang w:val="cs-CZ"/>
        </w:rPr>
      </w:pPr>
      <w:r w:rsidRPr="000A0FF8">
        <w:rPr>
          <w:rStyle w:val="Znakapoznpodarou"/>
          <w:rFonts w:ascii="Arial" w:hAnsi="Arial" w:cs="Arial"/>
          <w:szCs w:val="18"/>
        </w:rPr>
        <w:footnoteRef/>
      </w:r>
      <w:r w:rsidRPr="000A0FF8">
        <w:rPr>
          <w:rFonts w:ascii="Arial" w:hAnsi="Arial" w:cs="Arial"/>
          <w:szCs w:val="18"/>
          <w:lang w:val="cs-CZ"/>
        </w:rPr>
        <w:t xml:space="preserve"> Viz Fakta o klimatu: </w:t>
      </w:r>
      <w:hyperlink r:id="rId22" w:history="1">
        <w:r w:rsidRPr="000A0FF8">
          <w:rPr>
            <w:rStyle w:val="Hypertextovodkaz"/>
            <w:rFonts w:ascii="Arial" w:hAnsi="Arial" w:cs="Arial"/>
            <w:szCs w:val="18"/>
            <w:lang w:val="cs-CZ"/>
          </w:rPr>
          <w:t>Emise skleníkových plynů ze zemědělství v ČR (faktaoklimatu.cz)</w:t>
        </w:r>
      </w:hyperlink>
      <w:r w:rsidRPr="000A0FF8">
        <w:rPr>
          <w:rFonts w:ascii="Arial" w:hAnsi="Arial" w:cs="Arial"/>
          <w:szCs w:val="18"/>
          <w:lang w:val="cs-CZ"/>
        </w:rPr>
        <w:t xml:space="preserve"> a </w:t>
      </w:r>
      <w:hyperlink r:id="rId23" w:history="1">
        <w:r w:rsidRPr="000A0FF8">
          <w:rPr>
            <w:rStyle w:val="Hypertextovodkaz"/>
            <w:rFonts w:ascii="Arial" w:hAnsi="Arial" w:cs="Arial"/>
            <w:szCs w:val="18"/>
            <w:lang w:val="cs-CZ"/>
          </w:rPr>
          <w:t>Emise skleníkových plynů v ČR podle sektorů</w:t>
        </w:r>
      </w:hyperlink>
    </w:p>
  </w:footnote>
  <w:footnote w:id="30">
    <w:p w14:paraId="23A6C498" w14:textId="7D55ECDD" w:rsidR="00774206" w:rsidRPr="000A0FF8" w:rsidRDefault="00774206">
      <w:pPr>
        <w:pStyle w:val="Textpoznpodarou"/>
        <w:rPr>
          <w:rFonts w:ascii="Arial" w:hAnsi="Arial" w:cs="Arial"/>
          <w:szCs w:val="18"/>
          <w:lang w:val="cs-CZ"/>
        </w:rPr>
      </w:pPr>
      <w:r w:rsidRPr="000A0FF8">
        <w:rPr>
          <w:rStyle w:val="Znakapoznpodarou"/>
          <w:rFonts w:ascii="Arial" w:hAnsi="Arial" w:cs="Arial"/>
          <w:szCs w:val="18"/>
        </w:rPr>
        <w:footnoteRef/>
      </w:r>
      <w:r w:rsidRPr="000A0FF8">
        <w:rPr>
          <w:rFonts w:ascii="Arial" w:hAnsi="Arial" w:cs="Arial"/>
          <w:szCs w:val="18"/>
          <w:lang w:val="cs-CZ"/>
        </w:rPr>
        <w:t xml:space="preserve"> </w:t>
      </w:r>
      <w:r w:rsidRPr="000A0FF8">
        <w:rPr>
          <w:rFonts w:ascii="Arial" w:eastAsia="Calibri" w:hAnsi="Arial" w:cs="Arial"/>
          <w:szCs w:val="18"/>
          <w:lang w:val="cs-CZ"/>
        </w:rPr>
        <w:t>Kritéria pro zadávání zelených veřejných zakázek v EU pro stravování, stravovací služby a prodejní automaty, viz</w:t>
      </w:r>
      <w:r w:rsidRPr="000A0FF8">
        <w:rPr>
          <w:rFonts w:ascii="Arial" w:hAnsi="Arial" w:cs="Arial"/>
          <w:szCs w:val="18"/>
          <w:lang w:val="cs-CZ"/>
        </w:rPr>
        <w:t xml:space="preserve"> </w:t>
      </w:r>
      <w:hyperlink r:id="rId24" w:history="1">
        <w:r w:rsidRPr="000A0FF8">
          <w:rPr>
            <w:rStyle w:val="Hypertextovodkaz"/>
            <w:rFonts w:ascii="Arial" w:hAnsi="Arial" w:cs="Arial"/>
            <w:szCs w:val="18"/>
            <w:lang w:val="cs-CZ"/>
          </w:rPr>
          <w:t>Green Business – Knihovna</w:t>
        </w:r>
      </w:hyperlink>
      <w:r w:rsidR="00BF32D9" w:rsidRPr="000A0FF8">
        <w:rPr>
          <w:rFonts w:ascii="Arial" w:hAnsi="Arial" w:cs="Arial"/>
          <w:szCs w:val="18"/>
          <w:lang w:val="cs-CZ"/>
        </w:rPr>
        <w:t xml:space="preserve"> a v podrobnostech</w:t>
      </w:r>
      <w:r w:rsidR="00D2544B" w:rsidRPr="000A0FF8">
        <w:rPr>
          <w:rFonts w:ascii="Arial" w:hAnsi="Arial" w:cs="Arial"/>
          <w:szCs w:val="18"/>
          <w:lang w:val="cs-CZ"/>
        </w:rPr>
        <w:t xml:space="preserve"> </w:t>
      </w:r>
      <w:hyperlink r:id="rId25" w:history="1">
        <w:r w:rsidR="00D2544B" w:rsidRPr="000A0FF8">
          <w:rPr>
            <w:rStyle w:val="Hypertextovodkaz"/>
            <w:rFonts w:ascii="Arial" w:hAnsi="Arial" w:cs="Arial"/>
            <w:szCs w:val="18"/>
            <w:lang w:val="cs-CZ"/>
          </w:rPr>
          <w:t>Techni</w:t>
        </w:r>
        <w:r w:rsidR="00B64CED" w:rsidRPr="000A0FF8">
          <w:rPr>
            <w:rStyle w:val="Hypertextovodkaz"/>
            <w:rFonts w:ascii="Arial" w:hAnsi="Arial" w:cs="Arial"/>
            <w:szCs w:val="18"/>
            <w:lang w:val="cs-CZ"/>
          </w:rPr>
          <w:t xml:space="preserve">cal report Food and catering </w:t>
        </w:r>
      </w:hyperlink>
    </w:p>
  </w:footnote>
  <w:footnote w:id="31">
    <w:p w14:paraId="36FC1937" w14:textId="77777777" w:rsidR="00F13BB9" w:rsidRPr="000A0FF8" w:rsidRDefault="00F13BB9" w:rsidP="00F13BB9">
      <w:pPr>
        <w:pStyle w:val="Textpoznpodarou"/>
        <w:rPr>
          <w:rFonts w:ascii="Arial" w:hAnsi="Arial" w:cs="Arial"/>
          <w:szCs w:val="18"/>
        </w:rPr>
      </w:pPr>
      <w:r w:rsidRPr="000A0FF8">
        <w:rPr>
          <w:rStyle w:val="Znakapoznpodarou"/>
          <w:rFonts w:ascii="Arial" w:hAnsi="Arial" w:cs="Arial"/>
          <w:szCs w:val="18"/>
        </w:rPr>
        <w:footnoteRef/>
      </w:r>
      <w:r w:rsidRPr="000A0FF8">
        <w:rPr>
          <w:rFonts w:ascii="Arial" w:hAnsi="Arial" w:cs="Arial"/>
          <w:szCs w:val="18"/>
        </w:rPr>
        <w:t xml:space="preserve"> Organizace pro výživu a zemědělství (FAO, 2011)</w:t>
      </w:r>
    </w:p>
  </w:footnote>
  <w:footnote w:id="32">
    <w:p w14:paraId="006031D8" w14:textId="77777777" w:rsidR="00F13BB9" w:rsidRPr="000A0FF8" w:rsidRDefault="00F13BB9" w:rsidP="00F13BB9">
      <w:pPr>
        <w:pStyle w:val="Textpoznpodarou"/>
        <w:rPr>
          <w:rFonts w:ascii="Arial" w:hAnsi="Arial" w:cs="Arial"/>
          <w:szCs w:val="18"/>
        </w:rPr>
      </w:pPr>
      <w:r w:rsidRPr="000A0FF8">
        <w:rPr>
          <w:rStyle w:val="Znakapoznpodarou"/>
          <w:rFonts w:ascii="Arial" w:hAnsi="Arial" w:cs="Arial"/>
          <w:szCs w:val="18"/>
        </w:rPr>
        <w:footnoteRef/>
      </w:r>
      <w:r w:rsidRPr="000A0FF8">
        <w:rPr>
          <w:rFonts w:ascii="Arial" w:hAnsi="Arial" w:cs="Arial"/>
          <w:szCs w:val="18"/>
        </w:rPr>
        <w:t xml:space="preserve"> EU FUSIONS (2016). Estimates of European food waste levels („Odhady míry plýtvání potravinami na evropské úrovni“)</w:t>
      </w:r>
    </w:p>
  </w:footnote>
  <w:footnote w:id="33">
    <w:p w14:paraId="0564DD4D" w14:textId="77777777" w:rsidR="00F13BB9" w:rsidRPr="000A0FF8" w:rsidRDefault="00F13BB9" w:rsidP="00F13BB9">
      <w:pPr>
        <w:pStyle w:val="Textpoznpodarou"/>
        <w:rPr>
          <w:rFonts w:ascii="Arial" w:hAnsi="Arial" w:cs="Arial"/>
          <w:szCs w:val="18"/>
        </w:rPr>
      </w:pPr>
      <w:r w:rsidRPr="000A0FF8">
        <w:rPr>
          <w:rStyle w:val="Znakapoznpodarou"/>
          <w:rFonts w:ascii="Arial" w:hAnsi="Arial" w:cs="Arial"/>
          <w:szCs w:val="18"/>
        </w:rPr>
        <w:footnoteRef/>
      </w:r>
      <w:r w:rsidRPr="000A0FF8">
        <w:rPr>
          <w:rFonts w:ascii="Arial" w:hAnsi="Arial" w:cs="Arial"/>
          <w:szCs w:val="18"/>
        </w:rPr>
        <w:t xml:space="preserve"> Viz Eurostat: </w:t>
      </w:r>
      <w:hyperlink r:id="rId26" w:history="1">
        <w:r w:rsidRPr="000A0FF8">
          <w:rPr>
            <w:rStyle w:val="Hypertextovodkaz"/>
            <w:rFonts w:ascii="Arial" w:hAnsi="Arial" w:cs="Arial"/>
            <w:szCs w:val="18"/>
          </w:rPr>
          <w:t>Food waste and food waste prevention - estimates - Statistics Explained</w:t>
        </w:r>
      </w:hyperlink>
    </w:p>
  </w:footnote>
  <w:footnote w:id="34">
    <w:p w14:paraId="098A7E70" w14:textId="77777777" w:rsidR="00F13BB9" w:rsidRPr="000A0FF8" w:rsidRDefault="00F13BB9" w:rsidP="00F13BB9">
      <w:pPr>
        <w:pStyle w:val="paragraph"/>
        <w:spacing w:before="0" w:beforeAutospacing="0" w:after="0" w:afterAutospacing="0"/>
        <w:jc w:val="both"/>
        <w:textAlignment w:val="baseline"/>
        <w:rPr>
          <w:rFonts w:ascii="Arial" w:hAnsi="Arial" w:cs="Arial"/>
          <w:sz w:val="18"/>
          <w:szCs w:val="18"/>
        </w:rPr>
      </w:pPr>
      <w:r w:rsidRPr="000A0FF8">
        <w:rPr>
          <w:rStyle w:val="Znakapoznpodarou"/>
          <w:rFonts w:ascii="Arial" w:hAnsi="Arial" w:cs="Arial"/>
          <w:sz w:val="18"/>
          <w:szCs w:val="18"/>
        </w:rPr>
        <w:footnoteRef/>
      </w:r>
      <w:r w:rsidRPr="000A0FF8">
        <w:rPr>
          <w:rFonts w:ascii="Arial" w:hAnsi="Arial" w:cs="Arial"/>
          <w:sz w:val="18"/>
          <w:szCs w:val="18"/>
        </w:rPr>
        <w:t xml:space="preserve"> </w:t>
      </w:r>
      <w:r w:rsidRPr="000A0FF8">
        <w:rPr>
          <w:rStyle w:val="normaltextrun"/>
          <w:rFonts w:ascii="Arial" w:hAnsi="Arial" w:cs="Arial"/>
          <w:sz w:val="18"/>
          <w:szCs w:val="18"/>
        </w:rPr>
        <w:t xml:space="preserve">Zdroj: NOVÁKOVÁ, P.M HÁK, T. (2021). An Analysis of Food Waste in Czech Households—A Contribution to the International Reporting Effort. In: MDPI Dostupné z </w:t>
      </w:r>
      <w:hyperlink r:id="rId27" w:tgtFrame="_blank" w:history="1">
        <w:r w:rsidRPr="000A0FF8">
          <w:rPr>
            <w:rStyle w:val="normaltextrun"/>
            <w:rFonts w:ascii="Arial" w:hAnsi="Arial" w:cs="Arial"/>
            <w:color w:val="0000FF"/>
            <w:sz w:val="18"/>
            <w:szCs w:val="18"/>
          </w:rPr>
          <w:t>Foods | Free Full-Text | An Analysis of Food Waste in Czech Households—A Contribution to the International Reporting Effort (mdpi.com)</w:t>
        </w:r>
      </w:hyperlink>
      <w:r w:rsidRPr="000A0FF8">
        <w:rPr>
          <w:rStyle w:val="eop"/>
          <w:rFonts w:ascii="Arial" w:hAnsi="Arial" w:cs="Arial"/>
          <w:sz w:val="18"/>
          <w:szCs w:val="18"/>
        </w:rPr>
        <w:t> </w:t>
      </w:r>
    </w:p>
  </w:footnote>
  <w:footnote w:id="35">
    <w:p w14:paraId="212137A9" w14:textId="15594F4B" w:rsidR="00F13BB9" w:rsidRPr="000A0FF8" w:rsidRDefault="00F13BB9" w:rsidP="00F13BB9">
      <w:pPr>
        <w:pStyle w:val="Textpoznpodarou"/>
        <w:rPr>
          <w:rFonts w:ascii="Arial" w:hAnsi="Arial" w:cs="Arial"/>
          <w:szCs w:val="18"/>
        </w:rPr>
      </w:pPr>
      <w:r w:rsidRPr="000A0FF8">
        <w:rPr>
          <w:rStyle w:val="Znakapoznpodarou"/>
          <w:rFonts w:ascii="Arial" w:hAnsi="Arial" w:cs="Arial"/>
          <w:szCs w:val="18"/>
        </w:rPr>
        <w:footnoteRef/>
      </w:r>
      <w:r w:rsidRPr="000A0FF8">
        <w:rPr>
          <w:rFonts w:ascii="Arial" w:hAnsi="Arial" w:cs="Arial"/>
          <w:szCs w:val="18"/>
        </w:rPr>
        <w:t xml:space="preserve"> </w:t>
      </w:r>
      <w:hyperlink r:id="rId28" w:anchor="slide=id.p14" w:history="1">
        <w:r w:rsidRPr="000A0FF8">
          <w:rPr>
            <w:rStyle w:val="Hypertextovodkaz"/>
            <w:rFonts w:ascii="Arial" w:hAnsi="Arial" w:cs="Arial"/>
            <w:szCs w:val="18"/>
          </w:rPr>
          <w:t xml:space="preserve">Tisková konference domovy a nemocnice_final.pptx </w:t>
        </w:r>
      </w:hyperlink>
    </w:p>
  </w:footnote>
  <w:footnote w:id="36">
    <w:p w14:paraId="59B66BA2" w14:textId="12AE26F5" w:rsidR="00D12B8E" w:rsidRPr="000A0FF8" w:rsidRDefault="00D12B8E">
      <w:pPr>
        <w:pStyle w:val="Textpoznpodarou"/>
        <w:rPr>
          <w:rFonts w:ascii="Arial" w:hAnsi="Arial" w:cs="Arial"/>
          <w:szCs w:val="18"/>
          <w:lang w:val="cs-CZ"/>
        </w:rPr>
      </w:pPr>
      <w:r w:rsidRPr="000A0FF8">
        <w:rPr>
          <w:rStyle w:val="Znakapoznpodarou"/>
          <w:rFonts w:ascii="Arial" w:hAnsi="Arial" w:cs="Arial"/>
          <w:szCs w:val="18"/>
        </w:rPr>
        <w:footnoteRef/>
      </w:r>
      <w:r w:rsidRPr="000A0FF8">
        <w:rPr>
          <w:rFonts w:ascii="Arial" w:hAnsi="Arial" w:cs="Arial"/>
          <w:szCs w:val="18"/>
        </w:rPr>
        <w:t xml:space="preserve"> </w:t>
      </w:r>
      <w:r w:rsidRPr="000A0FF8">
        <w:rPr>
          <w:rFonts w:ascii="Arial" w:eastAsia="Calibri" w:hAnsi="Arial" w:cs="Arial"/>
          <w:szCs w:val="18"/>
        </w:rPr>
        <w:t>Kritéria pro zadávání zelených veřejných zakázek v EU pro stravování, stravovací služby a prodejní automaty, viz</w:t>
      </w:r>
      <w:r w:rsidRPr="000A0FF8">
        <w:rPr>
          <w:rFonts w:ascii="Arial" w:hAnsi="Arial" w:cs="Arial"/>
          <w:szCs w:val="18"/>
          <w:lang w:val="cs-CZ"/>
        </w:rPr>
        <w:t xml:space="preserve"> </w:t>
      </w:r>
      <w:hyperlink r:id="rId29" w:history="1">
        <w:r w:rsidRPr="000A0FF8">
          <w:rPr>
            <w:rStyle w:val="Hypertextovodkaz"/>
            <w:rFonts w:ascii="Arial" w:hAnsi="Arial" w:cs="Arial"/>
            <w:szCs w:val="18"/>
            <w:lang w:val="cs-CZ"/>
          </w:rPr>
          <w:t>Green Business – Knihovna</w:t>
        </w:r>
      </w:hyperlink>
    </w:p>
  </w:footnote>
  <w:footnote w:id="37">
    <w:p w14:paraId="2ACF4EF6" w14:textId="2C16D370" w:rsidR="00D866A8" w:rsidRPr="00F15C89" w:rsidRDefault="00D866A8">
      <w:pPr>
        <w:pStyle w:val="Textpoznpodarou"/>
        <w:rPr>
          <w:rFonts w:ascii="Arial" w:hAnsi="Arial" w:cs="Arial"/>
          <w:sz w:val="20"/>
          <w:szCs w:val="20"/>
          <w:lang w:val="cs-CZ"/>
        </w:rPr>
      </w:pPr>
      <w:r w:rsidRPr="000A0FF8">
        <w:rPr>
          <w:rStyle w:val="Znakapoznpodarou"/>
          <w:rFonts w:ascii="Arial" w:hAnsi="Arial" w:cs="Arial"/>
          <w:szCs w:val="18"/>
        </w:rPr>
        <w:footnoteRef/>
      </w:r>
      <w:r w:rsidRPr="000A0FF8">
        <w:rPr>
          <w:rFonts w:ascii="Arial" w:hAnsi="Arial" w:cs="Arial"/>
          <w:szCs w:val="18"/>
        </w:rPr>
        <w:t xml:space="preserve"> </w:t>
      </w:r>
      <w:r w:rsidR="00D81DC6" w:rsidRPr="000A0FF8">
        <w:rPr>
          <w:rFonts w:ascii="Arial" w:hAnsi="Arial" w:cs="Arial"/>
          <w:szCs w:val="18"/>
          <w:lang w:val="cs-CZ"/>
        </w:rPr>
        <w:t xml:space="preserve">Viz </w:t>
      </w:r>
      <w:hyperlink r:id="rId30" w:history="1">
        <w:r w:rsidR="00A216A9" w:rsidRPr="000A0FF8">
          <w:rPr>
            <w:rStyle w:val="Hypertextovodkaz"/>
            <w:rFonts w:ascii="Arial" w:hAnsi="Arial" w:cs="Arial"/>
            <w:szCs w:val="18"/>
            <w:lang w:val="cs-CZ"/>
          </w:rPr>
          <w:t>Technical report Food and catering</w:t>
        </w:r>
      </w:hyperlink>
      <w:r w:rsidR="00A216A9" w:rsidRPr="000A0FF8">
        <w:rPr>
          <w:rFonts w:ascii="Arial" w:hAnsi="Arial" w:cs="Arial"/>
          <w:szCs w:val="18"/>
          <w:lang w:val="cs-CZ"/>
        </w:rPr>
        <w:t xml:space="preserve"> </w:t>
      </w:r>
    </w:p>
  </w:footnote>
  <w:footnote w:id="38">
    <w:p w14:paraId="1AD5B6C3" w14:textId="57FEFA5F" w:rsidR="009A090D" w:rsidRPr="00EC01AB" w:rsidRDefault="009A090D">
      <w:pPr>
        <w:pStyle w:val="Textpoznpodarou"/>
        <w:rPr>
          <w:rFonts w:ascii="Arial" w:hAnsi="Arial" w:cs="Arial"/>
          <w:szCs w:val="18"/>
          <w:lang w:val="cs-CZ"/>
        </w:rPr>
      </w:pPr>
      <w:r w:rsidRPr="00EC01AB">
        <w:rPr>
          <w:rStyle w:val="Znakapoznpodarou"/>
          <w:rFonts w:ascii="Arial" w:hAnsi="Arial" w:cs="Arial"/>
          <w:szCs w:val="18"/>
        </w:rPr>
        <w:footnoteRef/>
      </w:r>
      <w:r w:rsidRPr="00EC01AB">
        <w:rPr>
          <w:rFonts w:ascii="Arial" w:hAnsi="Arial" w:cs="Arial"/>
          <w:szCs w:val="18"/>
          <w:lang w:val="cs-CZ"/>
        </w:rPr>
        <w:t xml:space="preserve"> Viz </w:t>
      </w:r>
      <w:hyperlink r:id="rId31" w:history="1">
        <w:r w:rsidRPr="00EC01AB">
          <w:rPr>
            <w:rStyle w:val="Hypertextovodkaz"/>
            <w:rFonts w:ascii="Arial" w:hAnsi="Arial" w:cs="Arial"/>
            <w:szCs w:val="18"/>
            <w:lang w:val="cs-CZ"/>
          </w:rPr>
          <w:t>ROZHODNUTÍ KOMISE (EU) 2017/ 1217 - ze dne 23. června 2017, - kterým se stanoví kritéria ekoznačky EU pro čisticí prostředky na pevné povrchy - (oznámeno pod číslem C (2017) 4241)</w:t>
        </w:r>
      </w:hyperlink>
    </w:p>
  </w:footnote>
  <w:footnote w:id="39">
    <w:p w14:paraId="12611F0F" w14:textId="1877E0AC" w:rsidR="00F13BB9" w:rsidRPr="00EC01AB" w:rsidRDefault="00F13BB9" w:rsidP="00F13BB9">
      <w:pPr>
        <w:pStyle w:val="Textpoznpodarou"/>
        <w:rPr>
          <w:rFonts w:ascii="Arial" w:hAnsi="Arial" w:cs="Arial"/>
          <w:szCs w:val="18"/>
        </w:rPr>
      </w:pPr>
      <w:r w:rsidRPr="00EC01AB">
        <w:rPr>
          <w:rStyle w:val="Znakapoznpodarou"/>
          <w:rFonts w:ascii="Arial" w:hAnsi="Arial" w:cs="Arial"/>
          <w:szCs w:val="18"/>
        </w:rPr>
        <w:footnoteRef/>
      </w:r>
      <w:r w:rsidRPr="00EC01AB">
        <w:rPr>
          <w:rFonts w:ascii="Arial" w:hAnsi="Arial" w:cs="Arial"/>
          <w:szCs w:val="18"/>
        </w:rPr>
        <w:t xml:space="preserve"> Evropská komise. EU Ecolabel: Cleaning. [online]. [cit. 2024-10-24]</w:t>
      </w:r>
      <w:r w:rsidR="00A317EF" w:rsidRPr="00EC01AB">
        <w:rPr>
          <w:rFonts w:ascii="Arial" w:hAnsi="Arial" w:cs="Arial"/>
          <w:szCs w:val="18"/>
        </w:rPr>
        <w:t xml:space="preserve">, </w:t>
      </w:r>
      <w:r w:rsidR="00A317EF" w:rsidRPr="00EC01AB">
        <w:rPr>
          <w:rFonts w:ascii="Arial" w:hAnsi="Arial" w:cs="Arial"/>
          <w:szCs w:val="18"/>
          <w:lang w:val="cs-CZ"/>
        </w:rPr>
        <w:t>d</w:t>
      </w:r>
      <w:r w:rsidRPr="00EC01AB">
        <w:rPr>
          <w:rFonts w:ascii="Arial" w:hAnsi="Arial" w:cs="Arial"/>
          <w:szCs w:val="18"/>
          <w:lang w:val="cs-CZ"/>
        </w:rPr>
        <w:t>ostupné z</w:t>
      </w:r>
      <w:r w:rsidR="00A317EF" w:rsidRPr="00EC01AB">
        <w:rPr>
          <w:rFonts w:ascii="Arial" w:hAnsi="Arial" w:cs="Arial"/>
          <w:szCs w:val="18"/>
          <w:lang w:val="cs-CZ"/>
        </w:rPr>
        <w:t>de</w:t>
      </w:r>
      <w:r w:rsidRPr="00EC01AB">
        <w:rPr>
          <w:rFonts w:ascii="Arial" w:hAnsi="Arial" w:cs="Arial"/>
          <w:szCs w:val="18"/>
          <w:lang w:val="cs-CZ"/>
        </w:rPr>
        <w:t>:</w:t>
      </w:r>
      <w:r w:rsidRPr="00EC01AB">
        <w:rPr>
          <w:rFonts w:ascii="Arial" w:hAnsi="Arial" w:cs="Arial"/>
          <w:szCs w:val="18"/>
        </w:rPr>
        <w:t xml:space="preserve"> </w:t>
      </w:r>
      <w:hyperlink r:id="rId32" w:history="1">
        <w:r w:rsidR="00256CCF" w:rsidRPr="00EC01AB">
          <w:rPr>
            <w:rStyle w:val="Hypertextovodkaz"/>
            <w:rFonts w:ascii="Arial" w:hAnsi="Arial" w:cs="Arial"/>
            <w:szCs w:val="18"/>
          </w:rPr>
          <w:t>https://environment.ec.europa.eu/topics/circular-economy/eu-ecolabel/product-groups-and-criteria/cleaning_en</w:t>
        </w:r>
      </w:hyperlink>
      <w:r w:rsidR="00256CCF" w:rsidRPr="00EC01AB">
        <w:rPr>
          <w:rFonts w:ascii="Arial" w:hAnsi="Arial" w:cs="Arial"/>
          <w:szCs w:val="18"/>
        </w:rPr>
        <w:t xml:space="preserve"> </w:t>
      </w:r>
      <w:r w:rsidRPr="00EC01AB">
        <w:rPr>
          <w:rFonts w:ascii="Arial" w:hAnsi="Arial" w:cs="Arial"/>
          <w:szCs w:val="18"/>
        </w:rPr>
        <w:t xml:space="preserve"> </w:t>
      </w:r>
    </w:p>
  </w:footnote>
  <w:footnote w:id="40">
    <w:p w14:paraId="64238332" w14:textId="2C71623F" w:rsidR="00AE5B3F" w:rsidRPr="00EC01AB" w:rsidRDefault="00AE5B3F" w:rsidP="00AE5B3F">
      <w:pPr>
        <w:pStyle w:val="Textpoznpodarou"/>
        <w:rPr>
          <w:rFonts w:ascii="Arial" w:hAnsi="Arial" w:cs="Arial"/>
          <w:szCs w:val="18"/>
        </w:rPr>
      </w:pPr>
      <w:r w:rsidRPr="00EC01AB">
        <w:rPr>
          <w:rStyle w:val="Znakapoznpodarou"/>
          <w:rFonts w:ascii="Arial" w:hAnsi="Arial" w:cs="Arial"/>
          <w:szCs w:val="18"/>
        </w:rPr>
        <w:footnoteRef/>
      </w:r>
      <w:r w:rsidRPr="00EC01AB">
        <w:rPr>
          <w:rFonts w:ascii="Arial" w:hAnsi="Arial" w:cs="Arial"/>
          <w:szCs w:val="18"/>
        </w:rPr>
        <w:t xml:space="preserve"> </w:t>
      </w:r>
      <w:r w:rsidRPr="00EC01AB">
        <w:rPr>
          <w:rFonts w:ascii="Arial" w:eastAsia="Calibri" w:hAnsi="Arial" w:cs="Arial"/>
          <w:szCs w:val="18"/>
        </w:rPr>
        <w:t xml:space="preserve">Viz </w:t>
      </w:r>
      <w:hyperlink r:id="rId33" w:history="1">
        <w:r w:rsidR="00F22E5F" w:rsidRPr="00EC01AB">
          <w:rPr>
            <w:rStyle w:val="Hypertextovodkaz"/>
            <w:rFonts w:ascii="Arial" w:eastAsia="Calibri" w:hAnsi="Arial" w:cs="Arial"/>
            <w:szCs w:val="18"/>
            <w:lang w:val="cs-CZ"/>
          </w:rPr>
          <w:t>Nařízení Evropského parlamentu a Rady (ES) č. 66/2010 ze dne 25. listopadu 2009 o ekoznačce EU</w:t>
        </w:r>
      </w:hyperlink>
    </w:p>
  </w:footnote>
  <w:footnote w:id="41">
    <w:p w14:paraId="05DFD4EC" w14:textId="7201DF82" w:rsidR="009469A5" w:rsidRPr="00D0151D" w:rsidRDefault="009469A5">
      <w:pPr>
        <w:pStyle w:val="Textpoznpodarou"/>
        <w:rPr>
          <w:rFonts w:ascii="Arial" w:hAnsi="Arial" w:cs="Arial"/>
          <w:szCs w:val="18"/>
          <w:lang w:val="cs-CZ"/>
        </w:rPr>
      </w:pPr>
      <w:r w:rsidRPr="00D0151D">
        <w:rPr>
          <w:rStyle w:val="Znakapoznpodarou"/>
          <w:rFonts w:ascii="Arial" w:hAnsi="Arial" w:cs="Arial"/>
          <w:szCs w:val="18"/>
        </w:rPr>
        <w:footnoteRef/>
      </w:r>
      <w:r w:rsidRPr="00D0151D">
        <w:rPr>
          <w:rFonts w:ascii="Arial" w:hAnsi="Arial" w:cs="Arial"/>
          <w:szCs w:val="18"/>
        </w:rPr>
        <w:t xml:space="preserve"> </w:t>
      </w:r>
      <w:r w:rsidRPr="00D0151D">
        <w:rPr>
          <w:rFonts w:ascii="Arial" w:hAnsi="Arial" w:cs="Arial"/>
          <w:szCs w:val="18"/>
          <w:lang w:val="cs-CZ"/>
        </w:rPr>
        <w:t>Seznam sektorální</w:t>
      </w:r>
      <w:r w:rsidR="00083EAF" w:rsidRPr="00D0151D">
        <w:rPr>
          <w:rFonts w:ascii="Arial" w:hAnsi="Arial" w:cs="Arial"/>
          <w:szCs w:val="18"/>
          <w:lang w:val="cs-CZ"/>
        </w:rPr>
        <w:t>ch</w:t>
      </w:r>
      <w:r w:rsidRPr="00D0151D">
        <w:rPr>
          <w:rFonts w:ascii="Arial" w:hAnsi="Arial" w:cs="Arial"/>
          <w:szCs w:val="18"/>
          <w:lang w:val="cs-CZ"/>
        </w:rPr>
        <w:t xml:space="preserve"> předpisů</w:t>
      </w:r>
      <w:r w:rsidR="00083EAF" w:rsidRPr="00D0151D">
        <w:rPr>
          <w:rFonts w:ascii="Arial" w:hAnsi="Arial" w:cs="Arial"/>
          <w:szCs w:val="18"/>
          <w:lang w:val="cs-CZ"/>
        </w:rPr>
        <w:t xml:space="preserve"> EU</w:t>
      </w:r>
      <w:r w:rsidRPr="00D0151D">
        <w:rPr>
          <w:rFonts w:ascii="Arial" w:hAnsi="Arial" w:cs="Arial"/>
          <w:szCs w:val="18"/>
          <w:lang w:val="cs-CZ"/>
        </w:rPr>
        <w:t xml:space="preserve"> s</w:t>
      </w:r>
      <w:r w:rsidR="00083EAF" w:rsidRPr="00D0151D">
        <w:rPr>
          <w:rFonts w:ascii="Arial" w:hAnsi="Arial" w:cs="Arial"/>
          <w:szCs w:val="18"/>
          <w:lang w:val="cs-CZ"/>
        </w:rPr>
        <w:t xml:space="preserve"> dopadem do zadávání veřejných zakázek je dostupný na Portálu o VZ: </w:t>
      </w:r>
      <w:hyperlink r:id="rId34" w:history="1">
        <w:r w:rsidR="00083EAF" w:rsidRPr="00D0151D">
          <w:rPr>
            <w:rStyle w:val="Hypertextovodkaz"/>
            <w:rFonts w:ascii="Arial" w:hAnsi="Arial" w:cs="Arial"/>
            <w:szCs w:val="18"/>
            <w:lang w:val="cs-CZ"/>
          </w:rPr>
          <w:t>Evropská legislativa - Portál o veřejných zakázkách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7FA8" w14:textId="631A737C" w:rsidR="00F15C89" w:rsidRDefault="00F15C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21AF" w14:textId="08CD3BCF" w:rsidR="00F15C89" w:rsidRDefault="00F15C8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7C88" w14:textId="0E796B6A" w:rsidR="00F15C89" w:rsidRDefault="00F15C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BBD"/>
    <w:multiLevelType w:val="multilevel"/>
    <w:tmpl w:val="531498CA"/>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07D764E2"/>
    <w:multiLevelType w:val="multilevel"/>
    <w:tmpl w:val="FF7C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61880"/>
    <w:multiLevelType w:val="hybridMultilevel"/>
    <w:tmpl w:val="1540833A"/>
    <w:lvl w:ilvl="0" w:tplc="EA08ED92">
      <w:start w:val="1"/>
      <w:numFmt w:val="bullet"/>
      <w:lvlText w:val="•"/>
      <w:lvlJc w:val="left"/>
      <w:pPr>
        <w:tabs>
          <w:tab w:val="num" w:pos="720"/>
        </w:tabs>
        <w:ind w:left="720" w:hanging="360"/>
      </w:pPr>
      <w:rPr>
        <w:rFonts w:ascii="Arial" w:hAnsi="Arial" w:cs="Times New Roman" w:hint="default"/>
      </w:rPr>
    </w:lvl>
    <w:lvl w:ilvl="1" w:tplc="8354B2E2">
      <w:start w:val="1"/>
      <w:numFmt w:val="bullet"/>
      <w:lvlText w:val="•"/>
      <w:lvlJc w:val="left"/>
      <w:pPr>
        <w:tabs>
          <w:tab w:val="num" w:pos="1440"/>
        </w:tabs>
        <w:ind w:left="1440" w:hanging="360"/>
      </w:pPr>
      <w:rPr>
        <w:rFonts w:ascii="Arial" w:hAnsi="Arial" w:cs="Times New Roman" w:hint="default"/>
      </w:rPr>
    </w:lvl>
    <w:lvl w:ilvl="2" w:tplc="2C0C33A6">
      <w:start w:val="1"/>
      <w:numFmt w:val="bullet"/>
      <w:lvlText w:val="•"/>
      <w:lvlJc w:val="left"/>
      <w:pPr>
        <w:tabs>
          <w:tab w:val="num" w:pos="2160"/>
        </w:tabs>
        <w:ind w:left="2160" w:hanging="360"/>
      </w:pPr>
      <w:rPr>
        <w:rFonts w:ascii="Arial" w:hAnsi="Arial" w:cs="Times New Roman" w:hint="default"/>
      </w:rPr>
    </w:lvl>
    <w:lvl w:ilvl="3" w:tplc="EDBCECE8">
      <w:start w:val="1"/>
      <w:numFmt w:val="bullet"/>
      <w:lvlText w:val="•"/>
      <w:lvlJc w:val="left"/>
      <w:pPr>
        <w:tabs>
          <w:tab w:val="num" w:pos="2880"/>
        </w:tabs>
        <w:ind w:left="2880" w:hanging="360"/>
      </w:pPr>
      <w:rPr>
        <w:rFonts w:ascii="Arial" w:hAnsi="Arial" w:cs="Times New Roman" w:hint="default"/>
      </w:rPr>
    </w:lvl>
    <w:lvl w:ilvl="4" w:tplc="1652A1DE">
      <w:start w:val="1"/>
      <w:numFmt w:val="bullet"/>
      <w:lvlText w:val="•"/>
      <w:lvlJc w:val="left"/>
      <w:pPr>
        <w:tabs>
          <w:tab w:val="num" w:pos="3600"/>
        </w:tabs>
        <w:ind w:left="3600" w:hanging="360"/>
      </w:pPr>
      <w:rPr>
        <w:rFonts w:ascii="Arial" w:hAnsi="Arial" w:cs="Times New Roman" w:hint="default"/>
      </w:rPr>
    </w:lvl>
    <w:lvl w:ilvl="5" w:tplc="4AB43ACA">
      <w:start w:val="1"/>
      <w:numFmt w:val="bullet"/>
      <w:lvlText w:val="•"/>
      <w:lvlJc w:val="left"/>
      <w:pPr>
        <w:tabs>
          <w:tab w:val="num" w:pos="4320"/>
        </w:tabs>
        <w:ind w:left="4320" w:hanging="360"/>
      </w:pPr>
      <w:rPr>
        <w:rFonts w:ascii="Arial" w:hAnsi="Arial" w:cs="Times New Roman" w:hint="default"/>
      </w:rPr>
    </w:lvl>
    <w:lvl w:ilvl="6" w:tplc="C27489EA">
      <w:start w:val="1"/>
      <w:numFmt w:val="bullet"/>
      <w:lvlText w:val="•"/>
      <w:lvlJc w:val="left"/>
      <w:pPr>
        <w:tabs>
          <w:tab w:val="num" w:pos="5040"/>
        </w:tabs>
        <w:ind w:left="5040" w:hanging="360"/>
      </w:pPr>
      <w:rPr>
        <w:rFonts w:ascii="Arial" w:hAnsi="Arial" w:cs="Times New Roman" w:hint="default"/>
      </w:rPr>
    </w:lvl>
    <w:lvl w:ilvl="7" w:tplc="5C78C4BA">
      <w:start w:val="1"/>
      <w:numFmt w:val="bullet"/>
      <w:lvlText w:val="•"/>
      <w:lvlJc w:val="left"/>
      <w:pPr>
        <w:tabs>
          <w:tab w:val="num" w:pos="5760"/>
        </w:tabs>
        <w:ind w:left="5760" w:hanging="360"/>
      </w:pPr>
      <w:rPr>
        <w:rFonts w:ascii="Arial" w:hAnsi="Arial" w:cs="Times New Roman" w:hint="default"/>
      </w:rPr>
    </w:lvl>
    <w:lvl w:ilvl="8" w:tplc="AB3E1A02">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0466E8D"/>
    <w:multiLevelType w:val="hybridMultilevel"/>
    <w:tmpl w:val="DD8828F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36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F91E67"/>
    <w:multiLevelType w:val="hybridMultilevel"/>
    <w:tmpl w:val="C92E91E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15667E"/>
    <w:multiLevelType w:val="hybridMultilevel"/>
    <w:tmpl w:val="5544A84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D35F6"/>
    <w:multiLevelType w:val="multilevel"/>
    <w:tmpl w:val="A282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941CD"/>
    <w:multiLevelType w:val="multilevel"/>
    <w:tmpl w:val="27C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56586"/>
    <w:multiLevelType w:val="hybridMultilevel"/>
    <w:tmpl w:val="DFE6364A"/>
    <w:lvl w:ilvl="0" w:tplc="6E620E46">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D83CC7"/>
    <w:multiLevelType w:val="multilevel"/>
    <w:tmpl w:val="CAD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B766C9"/>
    <w:multiLevelType w:val="hybridMultilevel"/>
    <w:tmpl w:val="D16CAA2E"/>
    <w:lvl w:ilvl="0" w:tplc="ABECF21C">
      <w:numFmt w:val="bullet"/>
      <w:lvlText w:val="-"/>
      <w:lvlJc w:val="left"/>
      <w:pPr>
        <w:ind w:left="742" w:hanging="360"/>
      </w:pPr>
      <w:rPr>
        <w:rFonts w:ascii="Calibri" w:eastAsiaTheme="minorHAnsi" w:hAnsi="Calibri" w:cs="Calibri" w:hint="default"/>
      </w:rPr>
    </w:lvl>
    <w:lvl w:ilvl="1" w:tplc="04050003" w:tentative="1">
      <w:start w:val="1"/>
      <w:numFmt w:val="bullet"/>
      <w:lvlText w:val="o"/>
      <w:lvlJc w:val="left"/>
      <w:pPr>
        <w:ind w:left="1462" w:hanging="360"/>
      </w:pPr>
      <w:rPr>
        <w:rFonts w:ascii="Courier New" w:hAnsi="Courier New" w:cs="Courier New" w:hint="default"/>
      </w:rPr>
    </w:lvl>
    <w:lvl w:ilvl="2" w:tplc="04050005" w:tentative="1">
      <w:start w:val="1"/>
      <w:numFmt w:val="bullet"/>
      <w:lvlText w:val=""/>
      <w:lvlJc w:val="left"/>
      <w:pPr>
        <w:ind w:left="2182" w:hanging="360"/>
      </w:pPr>
      <w:rPr>
        <w:rFonts w:ascii="Wingdings" w:hAnsi="Wingdings" w:hint="default"/>
      </w:rPr>
    </w:lvl>
    <w:lvl w:ilvl="3" w:tplc="04050001" w:tentative="1">
      <w:start w:val="1"/>
      <w:numFmt w:val="bullet"/>
      <w:lvlText w:val=""/>
      <w:lvlJc w:val="left"/>
      <w:pPr>
        <w:ind w:left="2902" w:hanging="360"/>
      </w:pPr>
      <w:rPr>
        <w:rFonts w:ascii="Symbol" w:hAnsi="Symbol" w:hint="default"/>
      </w:rPr>
    </w:lvl>
    <w:lvl w:ilvl="4" w:tplc="04050003" w:tentative="1">
      <w:start w:val="1"/>
      <w:numFmt w:val="bullet"/>
      <w:lvlText w:val="o"/>
      <w:lvlJc w:val="left"/>
      <w:pPr>
        <w:ind w:left="3622" w:hanging="360"/>
      </w:pPr>
      <w:rPr>
        <w:rFonts w:ascii="Courier New" w:hAnsi="Courier New" w:cs="Courier New" w:hint="default"/>
      </w:rPr>
    </w:lvl>
    <w:lvl w:ilvl="5" w:tplc="04050005" w:tentative="1">
      <w:start w:val="1"/>
      <w:numFmt w:val="bullet"/>
      <w:lvlText w:val=""/>
      <w:lvlJc w:val="left"/>
      <w:pPr>
        <w:ind w:left="4342" w:hanging="360"/>
      </w:pPr>
      <w:rPr>
        <w:rFonts w:ascii="Wingdings" w:hAnsi="Wingdings" w:hint="default"/>
      </w:rPr>
    </w:lvl>
    <w:lvl w:ilvl="6" w:tplc="04050001" w:tentative="1">
      <w:start w:val="1"/>
      <w:numFmt w:val="bullet"/>
      <w:lvlText w:val=""/>
      <w:lvlJc w:val="left"/>
      <w:pPr>
        <w:ind w:left="5062" w:hanging="360"/>
      </w:pPr>
      <w:rPr>
        <w:rFonts w:ascii="Symbol" w:hAnsi="Symbol" w:hint="default"/>
      </w:rPr>
    </w:lvl>
    <w:lvl w:ilvl="7" w:tplc="04050003" w:tentative="1">
      <w:start w:val="1"/>
      <w:numFmt w:val="bullet"/>
      <w:lvlText w:val="o"/>
      <w:lvlJc w:val="left"/>
      <w:pPr>
        <w:ind w:left="5782" w:hanging="360"/>
      </w:pPr>
      <w:rPr>
        <w:rFonts w:ascii="Courier New" w:hAnsi="Courier New" w:cs="Courier New" w:hint="default"/>
      </w:rPr>
    </w:lvl>
    <w:lvl w:ilvl="8" w:tplc="04050005" w:tentative="1">
      <w:start w:val="1"/>
      <w:numFmt w:val="bullet"/>
      <w:lvlText w:val=""/>
      <w:lvlJc w:val="left"/>
      <w:pPr>
        <w:ind w:left="6502" w:hanging="360"/>
      </w:pPr>
      <w:rPr>
        <w:rFonts w:ascii="Wingdings" w:hAnsi="Wingdings" w:hint="default"/>
      </w:rPr>
    </w:lvl>
  </w:abstractNum>
  <w:abstractNum w:abstractNumId="11" w15:restartNumberingAfterBreak="0">
    <w:nsid w:val="233E47D7"/>
    <w:multiLevelType w:val="hybridMultilevel"/>
    <w:tmpl w:val="406001DA"/>
    <w:lvl w:ilvl="0" w:tplc="FB383E5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6552F4"/>
    <w:multiLevelType w:val="hybridMultilevel"/>
    <w:tmpl w:val="3F2AA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526EBF"/>
    <w:multiLevelType w:val="multilevel"/>
    <w:tmpl w:val="CC3802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2CC09DD"/>
    <w:multiLevelType w:val="multilevel"/>
    <w:tmpl w:val="3366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EC375B"/>
    <w:multiLevelType w:val="hybridMultilevel"/>
    <w:tmpl w:val="A25AC07C"/>
    <w:lvl w:ilvl="0" w:tplc="FB383E5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1839C5"/>
    <w:multiLevelType w:val="hybridMultilevel"/>
    <w:tmpl w:val="18304D48"/>
    <w:lvl w:ilvl="0" w:tplc="C0F05220">
      <w:start w:val="1"/>
      <w:numFmt w:val="decimal"/>
      <w:lvlText w:val="%1."/>
      <w:lvlJc w:val="left"/>
      <w:pPr>
        <w:ind w:left="6456"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9B2B6E"/>
    <w:multiLevelType w:val="multilevel"/>
    <w:tmpl w:val="9C3E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2063C7"/>
    <w:multiLevelType w:val="multilevel"/>
    <w:tmpl w:val="32FE95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4D02BD9"/>
    <w:multiLevelType w:val="hybridMultilevel"/>
    <w:tmpl w:val="DA187ADC"/>
    <w:lvl w:ilvl="0" w:tplc="55EC9452">
      <w:start w:val="1"/>
      <w:numFmt w:val="bullet"/>
      <w:lvlText w:val=""/>
      <w:lvlJc w:val="left"/>
      <w:pPr>
        <w:ind w:left="360" w:hanging="360"/>
      </w:pPr>
      <w:rPr>
        <w:rFonts w:ascii="Symbol" w:hAnsi="Symbol" w:hint="default"/>
      </w:rPr>
    </w:lvl>
    <w:lvl w:ilvl="1" w:tplc="A3824E08" w:tentative="1">
      <w:start w:val="1"/>
      <w:numFmt w:val="bullet"/>
      <w:lvlText w:val="o"/>
      <w:lvlJc w:val="left"/>
      <w:pPr>
        <w:ind w:left="1080" w:hanging="360"/>
      </w:pPr>
      <w:rPr>
        <w:rFonts w:ascii="Courier New" w:hAnsi="Courier New" w:cs="Courier New" w:hint="default"/>
      </w:rPr>
    </w:lvl>
    <w:lvl w:ilvl="2" w:tplc="EE6EBAE4" w:tentative="1">
      <w:start w:val="1"/>
      <w:numFmt w:val="bullet"/>
      <w:lvlText w:val=""/>
      <w:lvlJc w:val="left"/>
      <w:pPr>
        <w:ind w:left="1800" w:hanging="360"/>
      </w:pPr>
      <w:rPr>
        <w:rFonts w:ascii="Wingdings" w:hAnsi="Wingdings" w:hint="default"/>
      </w:rPr>
    </w:lvl>
    <w:lvl w:ilvl="3" w:tplc="410CCF6A" w:tentative="1">
      <w:start w:val="1"/>
      <w:numFmt w:val="bullet"/>
      <w:lvlText w:val=""/>
      <w:lvlJc w:val="left"/>
      <w:pPr>
        <w:ind w:left="2520" w:hanging="360"/>
      </w:pPr>
      <w:rPr>
        <w:rFonts w:ascii="Symbol" w:hAnsi="Symbol" w:hint="default"/>
      </w:rPr>
    </w:lvl>
    <w:lvl w:ilvl="4" w:tplc="AFDE4CE6" w:tentative="1">
      <w:start w:val="1"/>
      <w:numFmt w:val="bullet"/>
      <w:lvlText w:val="o"/>
      <w:lvlJc w:val="left"/>
      <w:pPr>
        <w:ind w:left="3240" w:hanging="360"/>
      </w:pPr>
      <w:rPr>
        <w:rFonts w:ascii="Courier New" w:hAnsi="Courier New" w:cs="Courier New" w:hint="default"/>
      </w:rPr>
    </w:lvl>
    <w:lvl w:ilvl="5" w:tplc="A91C4994" w:tentative="1">
      <w:start w:val="1"/>
      <w:numFmt w:val="bullet"/>
      <w:lvlText w:val=""/>
      <w:lvlJc w:val="left"/>
      <w:pPr>
        <w:ind w:left="3960" w:hanging="360"/>
      </w:pPr>
      <w:rPr>
        <w:rFonts w:ascii="Wingdings" w:hAnsi="Wingdings" w:hint="default"/>
      </w:rPr>
    </w:lvl>
    <w:lvl w:ilvl="6" w:tplc="3DB23382" w:tentative="1">
      <w:start w:val="1"/>
      <w:numFmt w:val="bullet"/>
      <w:lvlText w:val=""/>
      <w:lvlJc w:val="left"/>
      <w:pPr>
        <w:ind w:left="4680" w:hanging="360"/>
      </w:pPr>
      <w:rPr>
        <w:rFonts w:ascii="Symbol" w:hAnsi="Symbol" w:hint="default"/>
      </w:rPr>
    </w:lvl>
    <w:lvl w:ilvl="7" w:tplc="8D9AF0D8" w:tentative="1">
      <w:start w:val="1"/>
      <w:numFmt w:val="bullet"/>
      <w:lvlText w:val="o"/>
      <w:lvlJc w:val="left"/>
      <w:pPr>
        <w:ind w:left="5400" w:hanging="360"/>
      </w:pPr>
      <w:rPr>
        <w:rFonts w:ascii="Courier New" w:hAnsi="Courier New" w:cs="Courier New" w:hint="default"/>
      </w:rPr>
    </w:lvl>
    <w:lvl w:ilvl="8" w:tplc="56A2F962" w:tentative="1">
      <w:start w:val="1"/>
      <w:numFmt w:val="bullet"/>
      <w:lvlText w:val=""/>
      <w:lvlJc w:val="left"/>
      <w:pPr>
        <w:ind w:left="6120" w:hanging="360"/>
      </w:pPr>
      <w:rPr>
        <w:rFonts w:ascii="Wingdings" w:hAnsi="Wingdings" w:hint="default"/>
      </w:rPr>
    </w:lvl>
  </w:abstractNum>
  <w:abstractNum w:abstractNumId="20" w15:restartNumberingAfterBreak="0">
    <w:nsid w:val="454E065D"/>
    <w:multiLevelType w:val="multilevel"/>
    <w:tmpl w:val="BEC4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0A3A27"/>
    <w:multiLevelType w:val="multilevel"/>
    <w:tmpl w:val="78C6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BE2B6B"/>
    <w:multiLevelType w:val="hybridMultilevel"/>
    <w:tmpl w:val="A09062D4"/>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4BCC127C"/>
    <w:multiLevelType w:val="multilevel"/>
    <w:tmpl w:val="AB32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F23773"/>
    <w:multiLevelType w:val="hybridMultilevel"/>
    <w:tmpl w:val="96361A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F62D8D"/>
    <w:multiLevelType w:val="hybridMultilevel"/>
    <w:tmpl w:val="3132B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E9615B"/>
    <w:multiLevelType w:val="hybridMultilevel"/>
    <w:tmpl w:val="8214C914"/>
    <w:lvl w:ilvl="0" w:tplc="B6D2367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5D273C"/>
    <w:multiLevelType w:val="multilevel"/>
    <w:tmpl w:val="A7A8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216B2E"/>
    <w:multiLevelType w:val="hybridMultilevel"/>
    <w:tmpl w:val="01E6109C"/>
    <w:lvl w:ilvl="0" w:tplc="F72E2CC0">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FC34E6"/>
    <w:multiLevelType w:val="hybridMultilevel"/>
    <w:tmpl w:val="32C038F4"/>
    <w:lvl w:ilvl="0" w:tplc="73089270">
      <w:start w:val="1"/>
      <w:numFmt w:val="bullet"/>
      <w:lvlText w:val="o"/>
      <w:lvlJc w:val="left"/>
      <w:pPr>
        <w:tabs>
          <w:tab w:val="num" w:pos="720"/>
        </w:tabs>
        <w:ind w:left="720" w:hanging="360"/>
      </w:pPr>
      <w:rPr>
        <w:rFonts w:ascii="Courier New" w:hAnsi="Courier New" w:hint="default"/>
      </w:rPr>
    </w:lvl>
    <w:lvl w:ilvl="1" w:tplc="730C057E">
      <w:start w:val="1"/>
      <w:numFmt w:val="bullet"/>
      <w:lvlText w:val="o"/>
      <w:lvlJc w:val="left"/>
      <w:pPr>
        <w:tabs>
          <w:tab w:val="num" w:pos="1440"/>
        </w:tabs>
        <w:ind w:left="1440" w:hanging="360"/>
      </w:pPr>
      <w:rPr>
        <w:rFonts w:ascii="Courier New" w:hAnsi="Courier New" w:hint="default"/>
      </w:rPr>
    </w:lvl>
    <w:lvl w:ilvl="2" w:tplc="0F3E0CB0" w:tentative="1">
      <w:start w:val="1"/>
      <w:numFmt w:val="bullet"/>
      <w:lvlText w:val="o"/>
      <w:lvlJc w:val="left"/>
      <w:pPr>
        <w:tabs>
          <w:tab w:val="num" w:pos="2160"/>
        </w:tabs>
        <w:ind w:left="2160" w:hanging="360"/>
      </w:pPr>
      <w:rPr>
        <w:rFonts w:ascii="Courier New" w:hAnsi="Courier New" w:hint="default"/>
      </w:rPr>
    </w:lvl>
    <w:lvl w:ilvl="3" w:tplc="39D893F0" w:tentative="1">
      <w:start w:val="1"/>
      <w:numFmt w:val="bullet"/>
      <w:lvlText w:val="o"/>
      <w:lvlJc w:val="left"/>
      <w:pPr>
        <w:tabs>
          <w:tab w:val="num" w:pos="2880"/>
        </w:tabs>
        <w:ind w:left="2880" w:hanging="360"/>
      </w:pPr>
      <w:rPr>
        <w:rFonts w:ascii="Courier New" w:hAnsi="Courier New" w:hint="default"/>
      </w:rPr>
    </w:lvl>
    <w:lvl w:ilvl="4" w:tplc="C0FAC7EC" w:tentative="1">
      <w:start w:val="1"/>
      <w:numFmt w:val="bullet"/>
      <w:lvlText w:val="o"/>
      <w:lvlJc w:val="left"/>
      <w:pPr>
        <w:tabs>
          <w:tab w:val="num" w:pos="3600"/>
        </w:tabs>
        <w:ind w:left="3600" w:hanging="360"/>
      </w:pPr>
      <w:rPr>
        <w:rFonts w:ascii="Courier New" w:hAnsi="Courier New" w:hint="default"/>
      </w:rPr>
    </w:lvl>
    <w:lvl w:ilvl="5" w:tplc="48207496" w:tentative="1">
      <w:start w:val="1"/>
      <w:numFmt w:val="bullet"/>
      <w:lvlText w:val="o"/>
      <w:lvlJc w:val="left"/>
      <w:pPr>
        <w:tabs>
          <w:tab w:val="num" w:pos="4320"/>
        </w:tabs>
        <w:ind w:left="4320" w:hanging="360"/>
      </w:pPr>
      <w:rPr>
        <w:rFonts w:ascii="Courier New" w:hAnsi="Courier New" w:hint="default"/>
      </w:rPr>
    </w:lvl>
    <w:lvl w:ilvl="6" w:tplc="1CB47888" w:tentative="1">
      <w:start w:val="1"/>
      <w:numFmt w:val="bullet"/>
      <w:lvlText w:val="o"/>
      <w:lvlJc w:val="left"/>
      <w:pPr>
        <w:tabs>
          <w:tab w:val="num" w:pos="5040"/>
        </w:tabs>
        <w:ind w:left="5040" w:hanging="360"/>
      </w:pPr>
      <w:rPr>
        <w:rFonts w:ascii="Courier New" w:hAnsi="Courier New" w:hint="default"/>
      </w:rPr>
    </w:lvl>
    <w:lvl w:ilvl="7" w:tplc="7DF811F0" w:tentative="1">
      <w:start w:val="1"/>
      <w:numFmt w:val="bullet"/>
      <w:lvlText w:val="o"/>
      <w:lvlJc w:val="left"/>
      <w:pPr>
        <w:tabs>
          <w:tab w:val="num" w:pos="5760"/>
        </w:tabs>
        <w:ind w:left="5760" w:hanging="360"/>
      </w:pPr>
      <w:rPr>
        <w:rFonts w:ascii="Courier New" w:hAnsi="Courier New" w:hint="default"/>
      </w:rPr>
    </w:lvl>
    <w:lvl w:ilvl="8" w:tplc="84E60462"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F8F2F55"/>
    <w:multiLevelType w:val="hybridMultilevel"/>
    <w:tmpl w:val="C7CED08A"/>
    <w:lvl w:ilvl="0" w:tplc="9C26E1B6">
      <w:start w:val="85"/>
      <w:numFmt w:val="decimal"/>
      <w:lvlText w:val="%1"/>
      <w:lvlJc w:val="left"/>
      <w:pPr>
        <w:ind w:left="410" w:hanging="360"/>
      </w:pPr>
      <w:rPr>
        <w:rFonts w:hint="default"/>
      </w:rPr>
    </w:lvl>
    <w:lvl w:ilvl="1" w:tplc="04050019" w:tentative="1">
      <w:start w:val="1"/>
      <w:numFmt w:val="lowerLetter"/>
      <w:lvlText w:val="%2."/>
      <w:lvlJc w:val="left"/>
      <w:pPr>
        <w:ind w:left="1130" w:hanging="360"/>
      </w:pPr>
    </w:lvl>
    <w:lvl w:ilvl="2" w:tplc="0405001B" w:tentative="1">
      <w:start w:val="1"/>
      <w:numFmt w:val="lowerRoman"/>
      <w:lvlText w:val="%3."/>
      <w:lvlJc w:val="right"/>
      <w:pPr>
        <w:ind w:left="1850" w:hanging="180"/>
      </w:pPr>
    </w:lvl>
    <w:lvl w:ilvl="3" w:tplc="0405000F" w:tentative="1">
      <w:start w:val="1"/>
      <w:numFmt w:val="decimal"/>
      <w:lvlText w:val="%4."/>
      <w:lvlJc w:val="left"/>
      <w:pPr>
        <w:ind w:left="2570" w:hanging="360"/>
      </w:pPr>
    </w:lvl>
    <w:lvl w:ilvl="4" w:tplc="04050019" w:tentative="1">
      <w:start w:val="1"/>
      <w:numFmt w:val="lowerLetter"/>
      <w:lvlText w:val="%5."/>
      <w:lvlJc w:val="left"/>
      <w:pPr>
        <w:ind w:left="3290" w:hanging="360"/>
      </w:pPr>
    </w:lvl>
    <w:lvl w:ilvl="5" w:tplc="0405001B" w:tentative="1">
      <w:start w:val="1"/>
      <w:numFmt w:val="lowerRoman"/>
      <w:lvlText w:val="%6."/>
      <w:lvlJc w:val="right"/>
      <w:pPr>
        <w:ind w:left="4010" w:hanging="180"/>
      </w:pPr>
    </w:lvl>
    <w:lvl w:ilvl="6" w:tplc="0405000F" w:tentative="1">
      <w:start w:val="1"/>
      <w:numFmt w:val="decimal"/>
      <w:lvlText w:val="%7."/>
      <w:lvlJc w:val="left"/>
      <w:pPr>
        <w:ind w:left="4730" w:hanging="360"/>
      </w:pPr>
    </w:lvl>
    <w:lvl w:ilvl="7" w:tplc="04050019" w:tentative="1">
      <w:start w:val="1"/>
      <w:numFmt w:val="lowerLetter"/>
      <w:lvlText w:val="%8."/>
      <w:lvlJc w:val="left"/>
      <w:pPr>
        <w:ind w:left="5450" w:hanging="360"/>
      </w:pPr>
    </w:lvl>
    <w:lvl w:ilvl="8" w:tplc="0405001B" w:tentative="1">
      <w:start w:val="1"/>
      <w:numFmt w:val="lowerRoman"/>
      <w:lvlText w:val="%9."/>
      <w:lvlJc w:val="right"/>
      <w:pPr>
        <w:ind w:left="6170" w:hanging="180"/>
      </w:pPr>
    </w:lvl>
  </w:abstractNum>
  <w:abstractNum w:abstractNumId="31" w15:restartNumberingAfterBreak="0">
    <w:nsid w:val="5FFF1284"/>
    <w:multiLevelType w:val="multilevel"/>
    <w:tmpl w:val="06A2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C206E1"/>
    <w:multiLevelType w:val="hybridMultilevel"/>
    <w:tmpl w:val="496AF81C"/>
    <w:lvl w:ilvl="0" w:tplc="F72E2CC0">
      <w:start w:val="1"/>
      <w:numFmt w:val="bullet"/>
      <w:lvlText w:val="•"/>
      <w:lvlJc w:val="left"/>
      <w:pPr>
        <w:tabs>
          <w:tab w:val="num" w:pos="720"/>
        </w:tabs>
        <w:ind w:left="720" w:hanging="360"/>
      </w:pPr>
      <w:rPr>
        <w:rFonts w:ascii="Arial" w:hAnsi="Arial" w:hint="default"/>
      </w:rPr>
    </w:lvl>
    <w:lvl w:ilvl="1" w:tplc="0BB2319C">
      <w:start w:val="1"/>
      <w:numFmt w:val="bullet"/>
      <w:lvlText w:val="•"/>
      <w:lvlJc w:val="left"/>
      <w:pPr>
        <w:tabs>
          <w:tab w:val="num" w:pos="1440"/>
        </w:tabs>
        <w:ind w:left="1440" w:hanging="360"/>
      </w:pPr>
      <w:rPr>
        <w:rFonts w:ascii="Arial" w:hAnsi="Arial" w:hint="default"/>
      </w:rPr>
    </w:lvl>
    <w:lvl w:ilvl="2" w:tplc="B372A106" w:tentative="1">
      <w:start w:val="1"/>
      <w:numFmt w:val="bullet"/>
      <w:lvlText w:val="•"/>
      <w:lvlJc w:val="left"/>
      <w:pPr>
        <w:tabs>
          <w:tab w:val="num" w:pos="2160"/>
        </w:tabs>
        <w:ind w:left="2160" w:hanging="360"/>
      </w:pPr>
      <w:rPr>
        <w:rFonts w:ascii="Arial" w:hAnsi="Arial" w:hint="default"/>
      </w:rPr>
    </w:lvl>
    <w:lvl w:ilvl="3" w:tplc="F13AF912" w:tentative="1">
      <w:start w:val="1"/>
      <w:numFmt w:val="bullet"/>
      <w:lvlText w:val="•"/>
      <w:lvlJc w:val="left"/>
      <w:pPr>
        <w:tabs>
          <w:tab w:val="num" w:pos="2880"/>
        </w:tabs>
        <w:ind w:left="2880" w:hanging="360"/>
      </w:pPr>
      <w:rPr>
        <w:rFonts w:ascii="Arial" w:hAnsi="Arial" w:hint="default"/>
      </w:rPr>
    </w:lvl>
    <w:lvl w:ilvl="4" w:tplc="EB1672D2" w:tentative="1">
      <w:start w:val="1"/>
      <w:numFmt w:val="bullet"/>
      <w:lvlText w:val="•"/>
      <w:lvlJc w:val="left"/>
      <w:pPr>
        <w:tabs>
          <w:tab w:val="num" w:pos="3600"/>
        </w:tabs>
        <w:ind w:left="3600" w:hanging="360"/>
      </w:pPr>
      <w:rPr>
        <w:rFonts w:ascii="Arial" w:hAnsi="Arial" w:hint="default"/>
      </w:rPr>
    </w:lvl>
    <w:lvl w:ilvl="5" w:tplc="4D4E0098" w:tentative="1">
      <w:start w:val="1"/>
      <w:numFmt w:val="bullet"/>
      <w:lvlText w:val="•"/>
      <w:lvlJc w:val="left"/>
      <w:pPr>
        <w:tabs>
          <w:tab w:val="num" w:pos="4320"/>
        </w:tabs>
        <w:ind w:left="4320" w:hanging="360"/>
      </w:pPr>
      <w:rPr>
        <w:rFonts w:ascii="Arial" w:hAnsi="Arial" w:hint="default"/>
      </w:rPr>
    </w:lvl>
    <w:lvl w:ilvl="6" w:tplc="0CB83974" w:tentative="1">
      <w:start w:val="1"/>
      <w:numFmt w:val="bullet"/>
      <w:lvlText w:val="•"/>
      <w:lvlJc w:val="left"/>
      <w:pPr>
        <w:tabs>
          <w:tab w:val="num" w:pos="5040"/>
        </w:tabs>
        <w:ind w:left="5040" w:hanging="360"/>
      </w:pPr>
      <w:rPr>
        <w:rFonts w:ascii="Arial" w:hAnsi="Arial" w:hint="default"/>
      </w:rPr>
    </w:lvl>
    <w:lvl w:ilvl="7" w:tplc="70E45DFA" w:tentative="1">
      <w:start w:val="1"/>
      <w:numFmt w:val="bullet"/>
      <w:lvlText w:val="•"/>
      <w:lvlJc w:val="left"/>
      <w:pPr>
        <w:tabs>
          <w:tab w:val="num" w:pos="5760"/>
        </w:tabs>
        <w:ind w:left="5760" w:hanging="360"/>
      </w:pPr>
      <w:rPr>
        <w:rFonts w:ascii="Arial" w:hAnsi="Arial" w:hint="default"/>
      </w:rPr>
    </w:lvl>
    <w:lvl w:ilvl="8" w:tplc="A5C872D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C26453"/>
    <w:multiLevelType w:val="multilevel"/>
    <w:tmpl w:val="20A6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80EA07"/>
    <w:multiLevelType w:val="hybridMultilevel"/>
    <w:tmpl w:val="FFFFFFFF"/>
    <w:lvl w:ilvl="0" w:tplc="012C3974">
      <w:start w:val="1"/>
      <w:numFmt w:val="bullet"/>
      <w:lvlText w:val="·"/>
      <w:lvlJc w:val="left"/>
      <w:pPr>
        <w:ind w:left="720" w:hanging="360"/>
      </w:pPr>
      <w:rPr>
        <w:rFonts w:ascii="Symbol" w:hAnsi="Symbol" w:hint="default"/>
      </w:rPr>
    </w:lvl>
    <w:lvl w:ilvl="1" w:tplc="95BE0030">
      <w:start w:val="1"/>
      <w:numFmt w:val="bullet"/>
      <w:lvlText w:val="o"/>
      <w:lvlJc w:val="left"/>
      <w:pPr>
        <w:ind w:left="1440" w:hanging="360"/>
      </w:pPr>
      <w:rPr>
        <w:rFonts w:ascii="Courier New" w:hAnsi="Courier New" w:hint="default"/>
      </w:rPr>
    </w:lvl>
    <w:lvl w:ilvl="2" w:tplc="9E64DB0A">
      <w:start w:val="1"/>
      <w:numFmt w:val="bullet"/>
      <w:lvlText w:val=""/>
      <w:lvlJc w:val="left"/>
      <w:pPr>
        <w:ind w:left="2160" w:hanging="360"/>
      </w:pPr>
      <w:rPr>
        <w:rFonts w:ascii="Wingdings" w:hAnsi="Wingdings" w:hint="default"/>
      </w:rPr>
    </w:lvl>
    <w:lvl w:ilvl="3" w:tplc="B9D22BF8">
      <w:start w:val="1"/>
      <w:numFmt w:val="bullet"/>
      <w:lvlText w:val=""/>
      <w:lvlJc w:val="left"/>
      <w:pPr>
        <w:ind w:left="2880" w:hanging="360"/>
      </w:pPr>
      <w:rPr>
        <w:rFonts w:ascii="Symbol" w:hAnsi="Symbol" w:hint="default"/>
      </w:rPr>
    </w:lvl>
    <w:lvl w:ilvl="4" w:tplc="54A6CFA4">
      <w:start w:val="1"/>
      <w:numFmt w:val="bullet"/>
      <w:lvlText w:val="o"/>
      <w:lvlJc w:val="left"/>
      <w:pPr>
        <w:ind w:left="3600" w:hanging="360"/>
      </w:pPr>
      <w:rPr>
        <w:rFonts w:ascii="Courier New" w:hAnsi="Courier New" w:hint="default"/>
      </w:rPr>
    </w:lvl>
    <w:lvl w:ilvl="5" w:tplc="77B02A4E">
      <w:start w:val="1"/>
      <w:numFmt w:val="bullet"/>
      <w:lvlText w:val=""/>
      <w:lvlJc w:val="left"/>
      <w:pPr>
        <w:ind w:left="4320" w:hanging="360"/>
      </w:pPr>
      <w:rPr>
        <w:rFonts w:ascii="Wingdings" w:hAnsi="Wingdings" w:hint="default"/>
      </w:rPr>
    </w:lvl>
    <w:lvl w:ilvl="6" w:tplc="5CDE43A4">
      <w:start w:val="1"/>
      <w:numFmt w:val="bullet"/>
      <w:lvlText w:val=""/>
      <w:lvlJc w:val="left"/>
      <w:pPr>
        <w:ind w:left="5040" w:hanging="360"/>
      </w:pPr>
      <w:rPr>
        <w:rFonts w:ascii="Symbol" w:hAnsi="Symbol" w:hint="default"/>
      </w:rPr>
    </w:lvl>
    <w:lvl w:ilvl="7" w:tplc="6CE861A2">
      <w:start w:val="1"/>
      <w:numFmt w:val="bullet"/>
      <w:lvlText w:val="o"/>
      <w:lvlJc w:val="left"/>
      <w:pPr>
        <w:ind w:left="5760" w:hanging="360"/>
      </w:pPr>
      <w:rPr>
        <w:rFonts w:ascii="Courier New" w:hAnsi="Courier New" w:hint="default"/>
      </w:rPr>
    </w:lvl>
    <w:lvl w:ilvl="8" w:tplc="DEAAB024">
      <w:start w:val="1"/>
      <w:numFmt w:val="bullet"/>
      <w:lvlText w:val=""/>
      <w:lvlJc w:val="left"/>
      <w:pPr>
        <w:ind w:left="6480" w:hanging="360"/>
      </w:pPr>
      <w:rPr>
        <w:rFonts w:ascii="Wingdings" w:hAnsi="Wingdings" w:hint="default"/>
      </w:rPr>
    </w:lvl>
  </w:abstractNum>
  <w:abstractNum w:abstractNumId="35" w15:restartNumberingAfterBreak="0">
    <w:nsid w:val="66CA2D6E"/>
    <w:multiLevelType w:val="hybridMultilevel"/>
    <w:tmpl w:val="2CFADBA8"/>
    <w:lvl w:ilvl="0" w:tplc="FFFFFFFF">
      <w:start w:val="1"/>
      <w:numFmt w:val="bullet"/>
      <w:lvlText w:val=""/>
      <w:lvlJc w:val="left"/>
      <w:pPr>
        <w:ind w:left="720" w:hanging="360"/>
      </w:pPr>
      <w:rPr>
        <w:rFonts w:ascii="Wingdings" w:hAnsi="Wingdings" w:hint="default"/>
      </w:rPr>
    </w:lvl>
    <w:lvl w:ilvl="1" w:tplc="0405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433B0A"/>
    <w:multiLevelType w:val="multilevel"/>
    <w:tmpl w:val="51988A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74C234C"/>
    <w:multiLevelType w:val="hybridMultilevel"/>
    <w:tmpl w:val="B9269E1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E461B8"/>
    <w:multiLevelType w:val="multilevel"/>
    <w:tmpl w:val="3FD0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642794"/>
    <w:multiLevelType w:val="multilevel"/>
    <w:tmpl w:val="10B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536C1D"/>
    <w:multiLevelType w:val="hybridMultilevel"/>
    <w:tmpl w:val="C2DAD9E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B06774"/>
    <w:multiLevelType w:val="multilevel"/>
    <w:tmpl w:val="2C1EEA9A"/>
    <w:lvl w:ilvl="0">
      <w:start w:val="1"/>
      <w:numFmt w:val="bullet"/>
      <w:lvlText w:val="o"/>
      <w:lvlJc w:val="left"/>
      <w:pPr>
        <w:tabs>
          <w:tab w:val="num" w:pos="720"/>
        </w:tabs>
        <w:ind w:left="294" w:hanging="360"/>
      </w:pPr>
      <w:rPr>
        <w:rFonts w:ascii="Courier New" w:hAnsi="Courier New" w:hint="default"/>
        <w:sz w:val="20"/>
      </w:rPr>
    </w:lvl>
    <w:lvl w:ilvl="1" w:tentative="1">
      <w:start w:val="1"/>
      <w:numFmt w:val="bullet"/>
      <w:lvlText w:val="o"/>
      <w:lvlJc w:val="left"/>
      <w:pPr>
        <w:tabs>
          <w:tab w:val="num" w:pos="1440"/>
        </w:tabs>
        <w:ind w:left="1014" w:hanging="360"/>
      </w:pPr>
      <w:rPr>
        <w:rFonts w:ascii="Courier New" w:hAnsi="Courier New" w:hint="default"/>
        <w:sz w:val="20"/>
      </w:rPr>
    </w:lvl>
    <w:lvl w:ilvl="2" w:tentative="1">
      <w:start w:val="1"/>
      <w:numFmt w:val="bullet"/>
      <w:lvlText w:val="o"/>
      <w:lvlJc w:val="left"/>
      <w:pPr>
        <w:tabs>
          <w:tab w:val="num" w:pos="2160"/>
        </w:tabs>
        <w:ind w:left="1734" w:hanging="360"/>
      </w:pPr>
      <w:rPr>
        <w:rFonts w:ascii="Courier New" w:hAnsi="Courier New" w:hint="default"/>
        <w:sz w:val="20"/>
      </w:rPr>
    </w:lvl>
    <w:lvl w:ilvl="3" w:tentative="1">
      <w:start w:val="1"/>
      <w:numFmt w:val="bullet"/>
      <w:lvlText w:val="o"/>
      <w:lvlJc w:val="left"/>
      <w:pPr>
        <w:tabs>
          <w:tab w:val="num" w:pos="2880"/>
        </w:tabs>
        <w:ind w:left="2454" w:hanging="360"/>
      </w:pPr>
      <w:rPr>
        <w:rFonts w:ascii="Courier New" w:hAnsi="Courier New" w:hint="default"/>
        <w:sz w:val="20"/>
      </w:rPr>
    </w:lvl>
    <w:lvl w:ilvl="4" w:tentative="1">
      <w:start w:val="1"/>
      <w:numFmt w:val="bullet"/>
      <w:lvlText w:val="o"/>
      <w:lvlJc w:val="left"/>
      <w:pPr>
        <w:tabs>
          <w:tab w:val="num" w:pos="3600"/>
        </w:tabs>
        <w:ind w:left="3174" w:hanging="360"/>
      </w:pPr>
      <w:rPr>
        <w:rFonts w:ascii="Courier New" w:hAnsi="Courier New" w:hint="default"/>
        <w:sz w:val="20"/>
      </w:rPr>
    </w:lvl>
    <w:lvl w:ilvl="5" w:tentative="1">
      <w:start w:val="1"/>
      <w:numFmt w:val="bullet"/>
      <w:lvlText w:val="o"/>
      <w:lvlJc w:val="left"/>
      <w:pPr>
        <w:tabs>
          <w:tab w:val="num" w:pos="4320"/>
        </w:tabs>
        <w:ind w:left="3894" w:hanging="360"/>
      </w:pPr>
      <w:rPr>
        <w:rFonts w:ascii="Courier New" w:hAnsi="Courier New" w:hint="default"/>
        <w:sz w:val="20"/>
      </w:rPr>
    </w:lvl>
    <w:lvl w:ilvl="6" w:tentative="1">
      <w:start w:val="1"/>
      <w:numFmt w:val="bullet"/>
      <w:lvlText w:val="o"/>
      <w:lvlJc w:val="left"/>
      <w:pPr>
        <w:tabs>
          <w:tab w:val="num" w:pos="5040"/>
        </w:tabs>
        <w:ind w:left="4614" w:hanging="360"/>
      </w:pPr>
      <w:rPr>
        <w:rFonts w:ascii="Courier New" w:hAnsi="Courier New" w:hint="default"/>
        <w:sz w:val="20"/>
      </w:rPr>
    </w:lvl>
    <w:lvl w:ilvl="7" w:tentative="1">
      <w:start w:val="1"/>
      <w:numFmt w:val="bullet"/>
      <w:lvlText w:val="o"/>
      <w:lvlJc w:val="left"/>
      <w:pPr>
        <w:tabs>
          <w:tab w:val="num" w:pos="5760"/>
        </w:tabs>
        <w:ind w:left="5334" w:hanging="360"/>
      </w:pPr>
      <w:rPr>
        <w:rFonts w:ascii="Courier New" w:hAnsi="Courier New" w:hint="default"/>
        <w:sz w:val="20"/>
      </w:rPr>
    </w:lvl>
    <w:lvl w:ilvl="8" w:tentative="1">
      <w:start w:val="1"/>
      <w:numFmt w:val="bullet"/>
      <w:lvlText w:val="o"/>
      <w:lvlJc w:val="left"/>
      <w:pPr>
        <w:tabs>
          <w:tab w:val="num" w:pos="6480"/>
        </w:tabs>
        <w:ind w:left="6054" w:hanging="360"/>
      </w:pPr>
      <w:rPr>
        <w:rFonts w:ascii="Courier New" w:hAnsi="Courier New" w:hint="default"/>
        <w:sz w:val="20"/>
      </w:rPr>
    </w:lvl>
  </w:abstractNum>
  <w:abstractNum w:abstractNumId="42" w15:restartNumberingAfterBreak="0">
    <w:nsid w:val="6DBF792E"/>
    <w:multiLevelType w:val="multilevel"/>
    <w:tmpl w:val="3FBC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20535F"/>
    <w:multiLevelType w:val="multilevel"/>
    <w:tmpl w:val="6FAE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623381"/>
    <w:multiLevelType w:val="multilevel"/>
    <w:tmpl w:val="3278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C14906"/>
    <w:multiLevelType w:val="multilevel"/>
    <w:tmpl w:val="7608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215F09"/>
    <w:multiLevelType w:val="hybridMultilevel"/>
    <w:tmpl w:val="15EECDBE"/>
    <w:lvl w:ilvl="0" w:tplc="FFFFFFFF">
      <w:start w:val="1"/>
      <w:numFmt w:val="decimal"/>
      <w:lvlText w:val="%1."/>
      <w:lvlJc w:val="left"/>
      <w:pPr>
        <w:ind w:left="720" w:hanging="360"/>
      </w:pPr>
      <w:rPr>
        <w:rFonts w:hint="default"/>
      </w:rPr>
    </w:lvl>
    <w:lvl w:ilvl="1" w:tplc="04050011">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EB3D3E"/>
    <w:multiLevelType w:val="hybridMultilevel"/>
    <w:tmpl w:val="B9269E1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4943995">
    <w:abstractNumId w:val="3"/>
  </w:num>
  <w:num w:numId="2" w16cid:durableId="1595093282">
    <w:abstractNumId w:val="19"/>
  </w:num>
  <w:num w:numId="3" w16cid:durableId="1086225153">
    <w:abstractNumId w:val="8"/>
  </w:num>
  <w:num w:numId="4" w16cid:durableId="1590043654">
    <w:abstractNumId w:val="40"/>
  </w:num>
  <w:num w:numId="5" w16cid:durableId="519706688">
    <w:abstractNumId w:val="46"/>
  </w:num>
  <w:num w:numId="6" w16cid:durableId="1515337171">
    <w:abstractNumId w:val="12"/>
  </w:num>
  <w:num w:numId="7" w16cid:durableId="24988660">
    <w:abstractNumId w:val="10"/>
  </w:num>
  <w:num w:numId="8" w16cid:durableId="1786728910">
    <w:abstractNumId w:val="7"/>
  </w:num>
  <w:num w:numId="9" w16cid:durableId="1344279555">
    <w:abstractNumId w:val="9"/>
  </w:num>
  <w:num w:numId="10" w16cid:durableId="1037198604">
    <w:abstractNumId w:val="42"/>
  </w:num>
  <w:num w:numId="11" w16cid:durableId="1754431220">
    <w:abstractNumId w:val="6"/>
  </w:num>
  <w:num w:numId="12" w16cid:durableId="649745577">
    <w:abstractNumId w:val="43"/>
  </w:num>
  <w:num w:numId="13" w16cid:durableId="1500080049">
    <w:abstractNumId w:val="23"/>
  </w:num>
  <w:num w:numId="14" w16cid:durableId="1514149559">
    <w:abstractNumId w:val="33"/>
  </w:num>
  <w:num w:numId="15" w16cid:durableId="1143347120">
    <w:abstractNumId w:val="45"/>
  </w:num>
  <w:num w:numId="16" w16cid:durableId="2048479736">
    <w:abstractNumId w:val="27"/>
  </w:num>
  <w:num w:numId="17" w16cid:durableId="1181048015">
    <w:abstractNumId w:val="38"/>
  </w:num>
  <w:num w:numId="18" w16cid:durableId="2067680730">
    <w:abstractNumId w:val="21"/>
  </w:num>
  <w:num w:numId="19" w16cid:durableId="1939173930">
    <w:abstractNumId w:val="17"/>
  </w:num>
  <w:num w:numId="20" w16cid:durableId="1821849926">
    <w:abstractNumId w:val="39"/>
  </w:num>
  <w:num w:numId="21" w16cid:durableId="557014846">
    <w:abstractNumId w:val="31"/>
  </w:num>
  <w:num w:numId="22" w16cid:durableId="767430391">
    <w:abstractNumId w:val="20"/>
  </w:num>
  <w:num w:numId="23" w16cid:durableId="1781488779">
    <w:abstractNumId w:val="44"/>
  </w:num>
  <w:num w:numId="24" w16cid:durableId="1603882344">
    <w:abstractNumId w:val="1"/>
  </w:num>
  <w:num w:numId="25" w16cid:durableId="1407922183">
    <w:abstractNumId w:val="14"/>
  </w:num>
  <w:num w:numId="26" w16cid:durableId="1386950764">
    <w:abstractNumId w:val="36"/>
  </w:num>
  <w:num w:numId="27" w16cid:durableId="369233457">
    <w:abstractNumId w:val="0"/>
  </w:num>
  <w:num w:numId="28" w16cid:durableId="1106660054">
    <w:abstractNumId w:val="13"/>
  </w:num>
  <w:num w:numId="29" w16cid:durableId="172843834">
    <w:abstractNumId w:val="18"/>
  </w:num>
  <w:num w:numId="30" w16cid:durableId="1397315212">
    <w:abstractNumId w:val="41"/>
  </w:num>
  <w:num w:numId="31" w16cid:durableId="1885289448">
    <w:abstractNumId w:val="11"/>
  </w:num>
  <w:num w:numId="32" w16cid:durableId="618341750">
    <w:abstractNumId w:val="47"/>
  </w:num>
  <w:num w:numId="33" w16cid:durableId="259290857">
    <w:abstractNumId w:val="32"/>
  </w:num>
  <w:num w:numId="34" w16cid:durableId="358119368">
    <w:abstractNumId w:val="35"/>
  </w:num>
  <w:num w:numId="35" w16cid:durableId="954213090">
    <w:abstractNumId w:val="29"/>
  </w:num>
  <w:num w:numId="36" w16cid:durableId="1669479286">
    <w:abstractNumId w:val="37"/>
  </w:num>
  <w:num w:numId="37" w16cid:durableId="488135424">
    <w:abstractNumId w:val="30"/>
  </w:num>
  <w:num w:numId="38" w16cid:durableId="70393032">
    <w:abstractNumId w:val="4"/>
  </w:num>
  <w:num w:numId="39" w16cid:durableId="1995179002">
    <w:abstractNumId w:val="24"/>
  </w:num>
  <w:num w:numId="40" w16cid:durableId="1665671108">
    <w:abstractNumId w:val="16"/>
  </w:num>
  <w:num w:numId="41" w16cid:durableId="600920329">
    <w:abstractNumId w:val="2"/>
  </w:num>
  <w:num w:numId="42" w16cid:durableId="1793552505">
    <w:abstractNumId w:val="5"/>
  </w:num>
  <w:num w:numId="43" w16cid:durableId="548807789">
    <w:abstractNumId w:val="25"/>
  </w:num>
  <w:num w:numId="44" w16cid:durableId="192160765">
    <w:abstractNumId w:val="26"/>
  </w:num>
  <w:num w:numId="45" w16cid:durableId="1516116578">
    <w:abstractNumId w:val="28"/>
  </w:num>
  <w:num w:numId="46" w16cid:durableId="1526015469">
    <w:abstractNumId w:val="34"/>
  </w:num>
  <w:num w:numId="47" w16cid:durableId="1597253138">
    <w:abstractNumId w:val="22"/>
  </w:num>
  <w:num w:numId="48" w16cid:durableId="1391264372">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C72"/>
    <w:rsid w:val="000005D8"/>
    <w:rsid w:val="000008B3"/>
    <w:rsid w:val="000026E1"/>
    <w:rsid w:val="000050B2"/>
    <w:rsid w:val="00005667"/>
    <w:rsid w:val="000070A3"/>
    <w:rsid w:val="00007579"/>
    <w:rsid w:val="00010B5A"/>
    <w:rsid w:val="00010F71"/>
    <w:rsid w:val="00012B38"/>
    <w:rsid w:val="000150C8"/>
    <w:rsid w:val="00016A7F"/>
    <w:rsid w:val="00020348"/>
    <w:rsid w:val="00021296"/>
    <w:rsid w:val="00021436"/>
    <w:rsid w:val="00022258"/>
    <w:rsid w:val="000224C2"/>
    <w:rsid w:val="0002260A"/>
    <w:rsid w:val="0002265E"/>
    <w:rsid w:val="00022A27"/>
    <w:rsid w:val="0002406B"/>
    <w:rsid w:val="00024E8E"/>
    <w:rsid w:val="00026091"/>
    <w:rsid w:val="0003032B"/>
    <w:rsid w:val="00032F60"/>
    <w:rsid w:val="00033FD7"/>
    <w:rsid w:val="0003505C"/>
    <w:rsid w:val="00035437"/>
    <w:rsid w:val="00036250"/>
    <w:rsid w:val="0004082B"/>
    <w:rsid w:val="00040E38"/>
    <w:rsid w:val="000423F4"/>
    <w:rsid w:val="00042D96"/>
    <w:rsid w:val="00042DF4"/>
    <w:rsid w:val="00044AAB"/>
    <w:rsid w:val="0004513E"/>
    <w:rsid w:val="00046DFA"/>
    <w:rsid w:val="00047440"/>
    <w:rsid w:val="00047F70"/>
    <w:rsid w:val="0005091D"/>
    <w:rsid w:val="00051668"/>
    <w:rsid w:val="00051997"/>
    <w:rsid w:val="00053476"/>
    <w:rsid w:val="0005721C"/>
    <w:rsid w:val="0005792D"/>
    <w:rsid w:val="0005794C"/>
    <w:rsid w:val="00057E55"/>
    <w:rsid w:val="000610D1"/>
    <w:rsid w:val="000610F8"/>
    <w:rsid w:val="000611FD"/>
    <w:rsid w:val="0006219B"/>
    <w:rsid w:val="000622F1"/>
    <w:rsid w:val="00063039"/>
    <w:rsid w:val="00063ECF"/>
    <w:rsid w:val="00064D4C"/>
    <w:rsid w:val="0006544A"/>
    <w:rsid w:val="00065A17"/>
    <w:rsid w:val="000705B8"/>
    <w:rsid w:val="0007119C"/>
    <w:rsid w:val="00071582"/>
    <w:rsid w:val="00074062"/>
    <w:rsid w:val="00075628"/>
    <w:rsid w:val="0007652C"/>
    <w:rsid w:val="00076695"/>
    <w:rsid w:val="000773B4"/>
    <w:rsid w:val="000800E5"/>
    <w:rsid w:val="00080483"/>
    <w:rsid w:val="000820D8"/>
    <w:rsid w:val="0008232D"/>
    <w:rsid w:val="00083EAF"/>
    <w:rsid w:val="00084174"/>
    <w:rsid w:val="000843ED"/>
    <w:rsid w:val="00087871"/>
    <w:rsid w:val="00090180"/>
    <w:rsid w:val="00094D1A"/>
    <w:rsid w:val="00096CC0"/>
    <w:rsid w:val="000A0FF8"/>
    <w:rsid w:val="000A10EB"/>
    <w:rsid w:val="000A12DC"/>
    <w:rsid w:val="000A2696"/>
    <w:rsid w:val="000A2AD2"/>
    <w:rsid w:val="000A2BD8"/>
    <w:rsid w:val="000A2EEE"/>
    <w:rsid w:val="000A2F70"/>
    <w:rsid w:val="000A3316"/>
    <w:rsid w:val="000A3652"/>
    <w:rsid w:val="000A44AF"/>
    <w:rsid w:val="000A48E8"/>
    <w:rsid w:val="000A7E48"/>
    <w:rsid w:val="000B0480"/>
    <w:rsid w:val="000B0621"/>
    <w:rsid w:val="000B14B4"/>
    <w:rsid w:val="000B2417"/>
    <w:rsid w:val="000B2AA2"/>
    <w:rsid w:val="000B2E44"/>
    <w:rsid w:val="000B40AD"/>
    <w:rsid w:val="000B537F"/>
    <w:rsid w:val="000C114B"/>
    <w:rsid w:val="000C1C5D"/>
    <w:rsid w:val="000C3EBB"/>
    <w:rsid w:val="000C4988"/>
    <w:rsid w:val="000C4A7E"/>
    <w:rsid w:val="000C6B5D"/>
    <w:rsid w:val="000D0467"/>
    <w:rsid w:val="000D427F"/>
    <w:rsid w:val="000D787E"/>
    <w:rsid w:val="000D7AB2"/>
    <w:rsid w:val="000E20DB"/>
    <w:rsid w:val="000E2B60"/>
    <w:rsid w:val="000E2CF9"/>
    <w:rsid w:val="000E2EC6"/>
    <w:rsid w:val="000E3722"/>
    <w:rsid w:val="000E3C00"/>
    <w:rsid w:val="000E5AB6"/>
    <w:rsid w:val="000E7A36"/>
    <w:rsid w:val="000E7F42"/>
    <w:rsid w:val="000F059E"/>
    <w:rsid w:val="000F1263"/>
    <w:rsid w:val="000F1A18"/>
    <w:rsid w:val="000F1E99"/>
    <w:rsid w:val="000F2B62"/>
    <w:rsid w:val="000F3EC5"/>
    <w:rsid w:val="000F6BF1"/>
    <w:rsid w:val="000F7012"/>
    <w:rsid w:val="001001B3"/>
    <w:rsid w:val="0010041E"/>
    <w:rsid w:val="00100888"/>
    <w:rsid w:val="00100A2A"/>
    <w:rsid w:val="00100C0B"/>
    <w:rsid w:val="00103367"/>
    <w:rsid w:val="001042E2"/>
    <w:rsid w:val="001043F3"/>
    <w:rsid w:val="00104CD9"/>
    <w:rsid w:val="00105D8C"/>
    <w:rsid w:val="00107AA9"/>
    <w:rsid w:val="0011002A"/>
    <w:rsid w:val="001106E6"/>
    <w:rsid w:val="00110791"/>
    <w:rsid w:val="001110F1"/>
    <w:rsid w:val="0011293E"/>
    <w:rsid w:val="0011355D"/>
    <w:rsid w:val="00115677"/>
    <w:rsid w:val="00115F2A"/>
    <w:rsid w:val="001166B2"/>
    <w:rsid w:val="001167A8"/>
    <w:rsid w:val="001230A5"/>
    <w:rsid w:val="00123501"/>
    <w:rsid w:val="00130870"/>
    <w:rsid w:val="00130D46"/>
    <w:rsid w:val="0013190D"/>
    <w:rsid w:val="00133492"/>
    <w:rsid w:val="00133547"/>
    <w:rsid w:val="00135B3C"/>
    <w:rsid w:val="00135F5F"/>
    <w:rsid w:val="00136F92"/>
    <w:rsid w:val="00141693"/>
    <w:rsid w:val="0014175D"/>
    <w:rsid w:val="00142D9B"/>
    <w:rsid w:val="00144072"/>
    <w:rsid w:val="0014414A"/>
    <w:rsid w:val="001461A3"/>
    <w:rsid w:val="001464F4"/>
    <w:rsid w:val="00147A52"/>
    <w:rsid w:val="00150BA8"/>
    <w:rsid w:val="001517E4"/>
    <w:rsid w:val="00152D5E"/>
    <w:rsid w:val="00153BC9"/>
    <w:rsid w:val="00153C62"/>
    <w:rsid w:val="00154056"/>
    <w:rsid w:val="001543F6"/>
    <w:rsid w:val="0015693B"/>
    <w:rsid w:val="00157EA3"/>
    <w:rsid w:val="00161BC2"/>
    <w:rsid w:val="00162263"/>
    <w:rsid w:val="001622A7"/>
    <w:rsid w:val="00162685"/>
    <w:rsid w:val="00162900"/>
    <w:rsid w:val="00162CC7"/>
    <w:rsid w:val="001636D7"/>
    <w:rsid w:val="0016678B"/>
    <w:rsid w:val="0017029B"/>
    <w:rsid w:val="00173195"/>
    <w:rsid w:val="00174053"/>
    <w:rsid w:val="00174797"/>
    <w:rsid w:val="00174C43"/>
    <w:rsid w:val="001752E1"/>
    <w:rsid w:val="0017583D"/>
    <w:rsid w:val="0017625F"/>
    <w:rsid w:val="00176F8A"/>
    <w:rsid w:val="00177F51"/>
    <w:rsid w:val="00180E38"/>
    <w:rsid w:val="0018133C"/>
    <w:rsid w:val="001815E9"/>
    <w:rsid w:val="00181AB3"/>
    <w:rsid w:val="00182EEB"/>
    <w:rsid w:val="00184EBD"/>
    <w:rsid w:val="001853CF"/>
    <w:rsid w:val="001854AF"/>
    <w:rsid w:val="00185AE6"/>
    <w:rsid w:val="00185DA5"/>
    <w:rsid w:val="00186134"/>
    <w:rsid w:val="00190513"/>
    <w:rsid w:val="00190E63"/>
    <w:rsid w:val="0019279B"/>
    <w:rsid w:val="00192EAA"/>
    <w:rsid w:val="001937FB"/>
    <w:rsid w:val="00194455"/>
    <w:rsid w:val="001947B1"/>
    <w:rsid w:val="00194EC0"/>
    <w:rsid w:val="0019636F"/>
    <w:rsid w:val="0019726D"/>
    <w:rsid w:val="001975A5"/>
    <w:rsid w:val="00197682"/>
    <w:rsid w:val="001A0087"/>
    <w:rsid w:val="001A14F7"/>
    <w:rsid w:val="001A1DBA"/>
    <w:rsid w:val="001A2DF8"/>
    <w:rsid w:val="001A34F6"/>
    <w:rsid w:val="001A3A67"/>
    <w:rsid w:val="001A4671"/>
    <w:rsid w:val="001A5006"/>
    <w:rsid w:val="001A5329"/>
    <w:rsid w:val="001A553C"/>
    <w:rsid w:val="001A64B5"/>
    <w:rsid w:val="001A6869"/>
    <w:rsid w:val="001A798C"/>
    <w:rsid w:val="001B03BA"/>
    <w:rsid w:val="001B0499"/>
    <w:rsid w:val="001B06FD"/>
    <w:rsid w:val="001B115E"/>
    <w:rsid w:val="001B1C32"/>
    <w:rsid w:val="001B28DF"/>
    <w:rsid w:val="001B300E"/>
    <w:rsid w:val="001B6D7A"/>
    <w:rsid w:val="001B76E3"/>
    <w:rsid w:val="001B7C8A"/>
    <w:rsid w:val="001C02BA"/>
    <w:rsid w:val="001C04D4"/>
    <w:rsid w:val="001C07A8"/>
    <w:rsid w:val="001C35DD"/>
    <w:rsid w:val="001C3FB2"/>
    <w:rsid w:val="001C3FD8"/>
    <w:rsid w:val="001C5360"/>
    <w:rsid w:val="001C5CDC"/>
    <w:rsid w:val="001C67F9"/>
    <w:rsid w:val="001C6849"/>
    <w:rsid w:val="001D1C17"/>
    <w:rsid w:val="001D1E46"/>
    <w:rsid w:val="001D2C98"/>
    <w:rsid w:val="001D3B4F"/>
    <w:rsid w:val="001D4B42"/>
    <w:rsid w:val="001D4CAA"/>
    <w:rsid w:val="001D779B"/>
    <w:rsid w:val="001E12F9"/>
    <w:rsid w:val="001E17BC"/>
    <w:rsid w:val="001E1FA3"/>
    <w:rsid w:val="001E591C"/>
    <w:rsid w:val="001E6567"/>
    <w:rsid w:val="001E6E67"/>
    <w:rsid w:val="001E6F24"/>
    <w:rsid w:val="001F0BFE"/>
    <w:rsid w:val="001F3442"/>
    <w:rsid w:val="001F4C71"/>
    <w:rsid w:val="001F5B94"/>
    <w:rsid w:val="001F5F3A"/>
    <w:rsid w:val="001F6342"/>
    <w:rsid w:val="001F6E1B"/>
    <w:rsid w:val="001F72F9"/>
    <w:rsid w:val="001F7AFF"/>
    <w:rsid w:val="002001BC"/>
    <w:rsid w:val="00201BCC"/>
    <w:rsid w:val="00202DAE"/>
    <w:rsid w:val="002030F4"/>
    <w:rsid w:val="00203528"/>
    <w:rsid w:val="00203B88"/>
    <w:rsid w:val="00204263"/>
    <w:rsid w:val="00204C0C"/>
    <w:rsid w:val="00205CE1"/>
    <w:rsid w:val="002077FB"/>
    <w:rsid w:val="002116E9"/>
    <w:rsid w:val="00211DEC"/>
    <w:rsid w:val="00213B6A"/>
    <w:rsid w:val="0021518E"/>
    <w:rsid w:val="00216386"/>
    <w:rsid w:val="0022212A"/>
    <w:rsid w:val="00223555"/>
    <w:rsid w:val="00224CE9"/>
    <w:rsid w:val="002324D0"/>
    <w:rsid w:val="00237A0B"/>
    <w:rsid w:val="00240604"/>
    <w:rsid w:val="002408C8"/>
    <w:rsid w:val="00241240"/>
    <w:rsid w:val="00243931"/>
    <w:rsid w:val="00244E6D"/>
    <w:rsid w:val="002455CC"/>
    <w:rsid w:val="002461B5"/>
    <w:rsid w:val="002462E7"/>
    <w:rsid w:val="00253421"/>
    <w:rsid w:val="002536DA"/>
    <w:rsid w:val="00254F16"/>
    <w:rsid w:val="00255A89"/>
    <w:rsid w:val="00256CCF"/>
    <w:rsid w:val="00257C3F"/>
    <w:rsid w:val="00257CA0"/>
    <w:rsid w:val="00260582"/>
    <w:rsid w:val="002621ED"/>
    <w:rsid w:val="00262A74"/>
    <w:rsid w:val="00263F4D"/>
    <w:rsid w:val="0026469B"/>
    <w:rsid w:val="002651D2"/>
    <w:rsid w:val="00265234"/>
    <w:rsid w:val="00266D81"/>
    <w:rsid w:val="002672AE"/>
    <w:rsid w:val="00270386"/>
    <w:rsid w:val="0027070A"/>
    <w:rsid w:val="00270B6A"/>
    <w:rsid w:val="00272AFC"/>
    <w:rsid w:val="00272EBE"/>
    <w:rsid w:val="0027337F"/>
    <w:rsid w:val="00274298"/>
    <w:rsid w:val="00274683"/>
    <w:rsid w:val="00274943"/>
    <w:rsid w:val="002751DC"/>
    <w:rsid w:val="00275773"/>
    <w:rsid w:val="00276B69"/>
    <w:rsid w:val="00280122"/>
    <w:rsid w:val="00281703"/>
    <w:rsid w:val="002819A1"/>
    <w:rsid w:val="00282CFD"/>
    <w:rsid w:val="0028377E"/>
    <w:rsid w:val="002839AA"/>
    <w:rsid w:val="0028436E"/>
    <w:rsid w:val="00284C71"/>
    <w:rsid w:val="00284EE4"/>
    <w:rsid w:val="00286519"/>
    <w:rsid w:val="00286E98"/>
    <w:rsid w:val="0029410D"/>
    <w:rsid w:val="0029535F"/>
    <w:rsid w:val="0029588E"/>
    <w:rsid w:val="002964EF"/>
    <w:rsid w:val="0029655B"/>
    <w:rsid w:val="002975E6"/>
    <w:rsid w:val="002977B3"/>
    <w:rsid w:val="00297D2B"/>
    <w:rsid w:val="002A045C"/>
    <w:rsid w:val="002A0744"/>
    <w:rsid w:val="002A241F"/>
    <w:rsid w:val="002A326F"/>
    <w:rsid w:val="002A3A38"/>
    <w:rsid w:val="002A3BD4"/>
    <w:rsid w:val="002A5449"/>
    <w:rsid w:val="002A58D5"/>
    <w:rsid w:val="002A5E52"/>
    <w:rsid w:val="002A5F70"/>
    <w:rsid w:val="002A7AF0"/>
    <w:rsid w:val="002A7DBC"/>
    <w:rsid w:val="002B0684"/>
    <w:rsid w:val="002B0C57"/>
    <w:rsid w:val="002B201A"/>
    <w:rsid w:val="002B3B5E"/>
    <w:rsid w:val="002B56BE"/>
    <w:rsid w:val="002B6478"/>
    <w:rsid w:val="002B64AD"/>
    <w:rsid w:val="002B6806"/>
    <w:rsid w:val="002B6D15"/>
    <w:rsid w:val="002B6E7D"/>
    <w:rsid w:val="002B6F23"/>
    <w:rsid w:val="002C015E"/>
    <w:rsid w:val="002C0458"/>
    <w:rsid w:val="002C10BA"/>
    <w:rsid w:val="002C22B6"/>
    <w:rsid w:val="002C3D2F"/>
    <w:rsid w:val="002C46A7"/>
    <w:rsid w:val="002C6314"/>
    <w:rsid w:val="002C70A3"/>
    <w:rsid w:val="002C71A2"/>
    <w:rsid w:val="002C7809"/>
    <w:rsid w:val="002C789B"/>
    <w:rsid w:val="002D1D15"/>
    <w:rsid w:val="002D420B"/>
    <w:rsid w:val="002D6A93"/>
    <w:rsid w:val="002F0A09"/>
    <w:rsid w:val="002F0DCF"/>
    <w:rsid w:val="002F1308"/>
    <w:rsid w:val="002F15CD"/>
    <w:rsid w:val="002F2871"/>
    <w:rsid w:val="002F4249"/>
    <w:rsid w:val="002F479D"/>
    <w:rsid w:val="002F54E0"/>
    <w:rsid w:val="002F579E"/>
    <w:rsid w:val="002F7E3D"/>
    <w:rsid w:val="00301111"/>
    <w:rsid w:val="003028F8"/>
    <w:rsid w:val="00303D52"/>
    <w:rsid w:val="003041C8"/>
    <w:rsid w:val="00304D95"/>
    <w:rsid w:val="003062F2"/>
    <w:rsid w:val="00306D90"/>
    <w:rsid w:val="0030716E"/>
    <w:rsid w:val="00310BAD"/>
    <w:rsid w:val="00310D1D"/>
    <w:rsid w:val="00311001"/>
    <w:rsid w:val="00311D29"/>
    <w:rsid w:val="0031254C"/>
    <w:rsid w:val="00312787"/>
    <w:rsid w:val="00312C89"/>
    <w:rsid w:val="003138DD"/>
    <w:rsid w:val="00313FF4"/>
    <w:rsid w:val="003141FA"/>
    <w:rsid w:val="00314562"/>
    <w:rsid w:val="00315E59"/>
    <w:rsid w:val="003164F9"/>
    <w:rsid w:val="00316907"/>
    <w:rsid w:val="00321096"/>
    <w:rsid w:val="00323C93"/>
    <w:rsid w:val="00325011"/>
    <w:rsid w:val="00325F1E"/>
    <w:rsid w:val="00326285"/>
    <w:rsid w:val="00326F1E"/>
    <w:rsid w:val="003270BA"/>
    <w:rsid w:val="00331251"/>
    <w:rsid w:val="00331EB9"/>
    <w:rsid w:val="003320BD"/>
    <w:rsid w:val="0033245F"/>
    <w:rsid w:val="003325F6"/>
    <w:rsid w:val="00332FEA"/>
    <w:rsid w:val="003335F9"/>
    <w:rsid w:val="003350E7"/>
    <w:rsid w:val="00337A9F"/>
    <w:rsid w:val="003402AC"/>
    <w:rsid w:val="003403FC"/>
    <w:rsid w:val="00340BD6"/>
    <w:rsid w:val="003412B1"/>
    <w:rsid w:val="00341D61"/>
    <w:rsid w:val="00341DDD"/>
    <w:rsid w:val="00342055"/>
    <w:rsid w:val="00342CF3"/>
    <w:rsid w:val="00343249"/>
    <w:rsid w:val="00343346"/>
    <w:rsid w:val="0034353A"/>
    <w:rsid w:val="003435D8"/>
    <w:rsid w:val="003444CD"/>
    <w:rsid w:val="00344ADD"/>
    <w:rsid w:val="003457E3"/>
    <w:rsid w:val="00345E6C"/>
    <w:rsid w:val="00346BA9"/>
    <w:rsid w:val="003474F3"/>
    <w:rsid w:val="003475CC"/>
    <w:rsid w:val="00350C4C"/>
    <w:rsid w:val="00351CF4"/>
    <w:rsid w:val="00352A36"/>
    <w:rsid w:val="00352EDE"/>
    <w:rsid w:val="00353184"/>
    <w:rsid w:val="0035468C"/>
    <w:rsid w:val="00357AF8"/>
    <w:rsid w:val="0036041D"/>
    <w:rsid w:val="00360BC1"/>
    <w:rsid w:val="003615EB"/>
    <w:rsid w:val="00362126"/>
    <w:rsid w:val="00362872"/>
    <w:rsid w:val="00363829"/>
    <w:rsid w:val="003650C7"/>
    <w:rsid w:val="00365901"/>
    <w:rsid w:val="00365EAC"/>
    <w:rsid w:val="003663EE"/>
    <w:rsid w:val="00372551"/>
    <w:rsid w:val="003725CA"/>
    <w:rsid w:val="003750F5"/>
    <w:rsid w:val="003753C5"/>
    <w:rsid w:val="00377DFB"/>
    <w:rsid w:val="003808B4"/>
    <w:rsid w:val="003812BB"/>
    <w:rsid w:val="003827D8"/>
    <w:rsid w:val="00385FFB"/>
    <w:rsid w:val="003860F1"/>
    <w:rsid w:val="00386619"/>
    <w:rsid w:val="00386DF2"/>
    <w:rsid w:val="00387948"/>
    <w:rsid w:val="00387A3F"/>
    <w:rsid w:val="0039047F"/>
    <w:rsid w:val="00390588"/>
    <w:rsid w:val="00390F44"/>
    <w:rsid w:val="003911FE"/>
    <w:rsid w:val="003917A4"/>
    <w:rsid w:val="00391CEC"/>
    <w:rsid w:val="0039266A"/>
    <w:rsid w:val="00392B71"/>
    <w:rsid w:val="0039312E"/>
    <w:rsid w:val="003936CE"/>
    <w:rsid w:val="00395F35"/>
    <w:rsid w:val="003A00BC"/>
    <w:rsid w:val="003A044B"/>
    <w:rsid w:val="003A0940"/>
    <w:rsid w:val="003A2AE0"/>
    <w:rsid w:val="003A35A0"/>
    <w:rsid w:val="003A42DD"/>
    <w:rsid w:val="003A48AB"/>
    <w:rsid w:val="003A4ED0"/>
    <w:rsid w:val="003A61CD"/>
    <w:rsid w:val="003B13CA"/>
    <w:rsid w:val="003B1C33"/>
    <w:rsid w:val="003B1E09"/>
    <w:rsid w:val="003B2295"/>
    <w:rsid w:val="003B2C01"/>
    <w:rsid w:val="003B43BF"/>
    <w:rsid w:val="003B4446"/>
    <w:rsid w:val="003B4652"/>
    <w:rsid w:val="003B4BC4"/>
    <w:rsid w:val="003B4F4B"/>
    <w:rsid w:val="003B57E5"/>
    <w:rsid w:val="003B5F11"/>
    <w:rsid w:val="003C10F3"/>
    <w:rsid w:val="003C1AE4"/>
    <w:rsid w:val="003C2166"/>
    <w:rsid w:val="003C38E9"/>
    <w:rsid w:val="003C4687"/>
    <w:rsid w:val="003C5F21"/>
    <w:rsid w:val="003C61BF"/>
    <w:rsid w:val="003D0438"/>
    <w:rsid w:val="003D066C"/>
    <w:rsid w:val="003D0ECB"/>
    <w:rsid w:val="003D4823"/>
    <w:rsid w:val="003D485E"/>
    <w:rsid w:val="003D5DE0"/>
    <w:rsid w:val="003D60A9"/>
    <w:rsid w:val="003D7BCF"/>
    <w:rsid w:val="003E1EA7"/>
    <w:rsid w:val="003E390D"/>
    <w:rsid w:val="003E4C3A"/>
    <w:rsid w:val="003E52EB"/>
    <w:rsid w:val="003E68DC"/>
    <w:rsid w:val="003F097C"/>
    <w:rsid w:val="003F1E20"/>
    <w:rsid w:val="003F25FE"/>
    <w:rsid w:val="003F4283"/>
    <w:rsid w:val="003F5A05"/>
    <w:rsid w:val="003F5C89"/>
    <w:rsid w:val="003F7110"/>
    <w:rsid w:val="003F7295"/>
    <w:rsid w:val="004034EE"/>
    <w:rsid w:val="004035B5"/>
    <w:rsid w:val="00403A2F"/>
    <w:rsid w:val="00403ED5"/>
    <w:rsid w:val="00404CD4"/>
    <w:rsid w:val="0040735E"/>
    <w:rsid w:val="004074B0"/>
    <w:rsid w:val="00407DA4"/>
    <w:rsid w:val="00410F70"/>
    <w:rsid w:val="00411E0A"/>
    <w:rsid w:val="00412B84"/>
    <w:rsid w:val="00414B23"/>
    <w:rsid w:val="00414C0B"/>
    <w:rsid w:val="004162CA"/>
    <w:rsid w:val="004165FF"/>
    <w:rsid w:val="004179B2"/>
    <w:rsid w:val="00420B19"/>
    <w:rsid w:val="004215C1"/>
    <w:rsid w:val="004217E3"/>
    <w:rsid w:val="00422105"/>
    <w:rsid w:val="00423F83"/>
    <w:rsid w:val="0042474C"/>
    <w:rsid w:val="0042549D"/>
    <w:rsid w:val="00431CB7"/>
    <w:rsid w:val="0043542C"/>
    <w:rsid w:val="0043555B"/>
    <w:rsid w:val="00435DC7"/>
    <w:rsid w:val="004360C4"/>
    <w:rsid w:val="0044469F"/>
    <w:rsid w:val="00444D3F"/>
    <w:rsid w:val="004506B6"/>
    <w:rsid w:val="00450B79"/>
    <w:rsid w:val="00450FC6"/>
    <w:rsid w:val="004525E5"/>
    <w:rsid w:val="0045378F"/>
    <w:rsid w:val="00453BD6"/>
    <w:rsid w:val="0045605C"/>
    <w:rsid w:val="00457D87"/>
    <w:rsid w:val="00461CCB"/>
    <w:rsid w:val="00462331"/>
    <w:rsid w:val="00462A45"/>
    <w:rsid w:val="00462AC2"/>
    <w:rsid w:val="00463142"/>
    <w:rsid w:val="0046346D"/>
    <w:rsid w:val="00463473"/>
    <w:rsid w:val="00464594"/>
    <w:rsid w:val="00465B00"/>
    <w:rsid w:val="00466484"/>
    <w:rsid w:val="00466CB3"/>
    <w:rsid w:val="00467E13"/>
    <w:rsid w:val="0047004C"/>
    <w:rsid w:val="00470366"/>
    <w:rsid w:val="00470AFA"/>
    <w:rsid w:val="004718E7"/>
    <w:rsid w:val="00472C67"/>
    <w:rsid w:val="00473E33"/>
    <w:rsid w:val="004744D1"/>
    <w:rsid w:val="00474595"/>
    <w:rsid w:val="00475142"/>
    <w:rsid w:val="00475174"/>
    <w:rsid w:val="00475E92"/>
    <w:rsid w:val="00477383"/>
    <w:rsid w:val="00477821"/>
    <w:rsid w:val="004805B3"/>
    <w:rsid w:val="00481FC8"/>
    <w:rsid w:val="004852C1"/>
    <w:rsid w:val="00485BFB"/>
    <w:rsid w:val="00486FC0"/>
    <w:rsid w:val="00487626"/>
    <w:rsid w:val="00492740"/>
    <w:rsid w:val="00492A11"/>
    <w:rsid w:val="004935A5"/>
    <w:rsid w:val="004956B7"/>
    <w:rsid w:val="00495F04"/>
    <w:rsid w:val="00496A40"/>
    <w:rsid w:val="004A4327"/>
    <w:rsid w:val="004A5139"/>
    <w:rsid w:val="004A595C"/>
    <w:rsid w:val="004A688E"/>
    <w:rsid w:val="004A6AE3"/>
    <w:rsid w:val="004B1446"/>
    <w:rsid w:val="004B175F"/>
    <w:rsid w:val="004B21F5"/>
    <w:rsid w:val="004B31DD"/>
    <w:rsid w:val="004B3707"/>
    <w:rsid w:val="004B39D0"/>
    <w:rsid w:val="004B660E"/>
    <w:rsid w:val="004B78EF"/>
    <w:rsid w:val="004C1F1B"/>
    <w:rsid w:val="004C209C"/>
    <w:rsid w:val="004C275A"/>
    <w:rsid w:val="004C2F9C"/>
    <w:rsid w:val="004C3C53"/>
    <w:rsid w:val="004C777B"/>
    <w:rsid w:val="004C7787"/>
    <w:rsid w:val="004C7AF0"/>
    <w:rsid w:val="004C7CE3"/>
    <w:rsid w:val="004D1836"/>
    <w:rsid w:val="004D2E63"/>
    <w:rsid w:val="004D4E3B"/>
    <w:rsid w:val="004D57CE"/>
    <w:rsid w:val="004D7237"/>
    <w:rsid w:val="004D771E"/>
    <w:rsid w:val="004E0931"/>
    <w:rsid w:val="004E1D3A"/>
    <w:rsid w:val="004E3212"/>
    <w:rsid w:val="004E37BA"/>
    <w:rsid w:val="004E3F79"/>
    <w:rsid w:val="004E4098"/>
    <w:rsid w:val="004E4114"/>
    <w:rsid w:val="004E62D5"/>
    <w:rsid w:val="004E7041"/>
    <w:rsid w:val="004E7C99"/>
    <w:rsid w:val="004F07CF"/>
    <w:rsid w:val="004F1125"/>
    <w:rsid w:val="004F1EEB"/>
    <w:rsid w:val="004F1F6F"/>
    <w:rsid w:val="004F34F1"/>
    <w:rsid w:val="004F556D"/>
    <w:rsid w:val="004F5847"/>
    <w:rsid w:val="004F5FEB"/>
    <w:rsid w:val="004F6462"/>
    <w:rsid w:val="004F735E"/>
    <w:rsid w:val="004F74C0"/>
    <w:rsid w:val="005001A8"/>
    <w:rsid w:val="0050050B"/>
    <w:rsid w:val="00500B67"/>
    <w:rsid w:val="005017AF"/>
    <w:rsid w:val="005017E7"/>
    <w:rsid w:val="005040F7"/>
    <w:rsid w:val="0050472F"/>
    <w:rsid w:val="00505153"/>
    <w:rsid w:val="00507CC9"/>
    <w:rsid w:val="005116A9"/>
    <w:rsid w:val="00512A0B"/>
    <w:rsid w:val="00515C01"/>
    <w:rsid w:val="00517561"/>
    <w:rsid w:val="00517E12"/>
    <w:rsid w:val="00520063"/>
    <w:rsid w:val="005209B0"/>
    <w:rsid w:val="005210DF"/>
    <w:rsid w:val="005213F1"/>
    <w:rsid w:val="005249E5"/>
    <w:rsid w:val="00524FE1"/>
    <w:rsid w:val="00525BAA"/>
    <w:rsid w:val="0052762B"/>
    <w:rsid w:val="005324CF"/>
    <w:rsid w:val="00534CB9"/>
    <w:rsid w:val="00535190"/>
    <w:rsid w:val="0053558C"/>
    <w:rsid w:val="00535A99"/>
    <w:rsid w:val="00535ACB"/>
    <w:rsid w:val="0053623E"/>
    <w:rsid w:val="00536373"/>
    <w:rsid w:val="00536FB1"/>
    <w:rsid w:val="00537480"/>
    <w:rsid w:val="00540820"/>
    <w:rsid w:val="005429D2"/>
    <w:rsid w:val="005429DC"/>
    <w:rsid w:val="005446CD"/>
    <w:rsid w:val="0054581C"/>
    <w:rsid w:val="00546778"/>
    <w:rsid w:val="005505E0"/>
    <w:rsid w:val="00552CD6"/>
    <w:rsid w:val="00555862"/>
    <w:rsid w:val="0055667A"/>
    <w:rsid w:val="00557844"/>
    <w:rsid w:val="005644E6"/>
    <w:rsid w:val="00564D26"/>
    <w:rsid w:val="005658D0"/>
    <w:rsid w:val="00565F0B"/>
    <w:rsid w:val="00567302"/>
    <w:rsid w:val="00570652"/>
    <w:rsid w:val="00571143"/>
    <w:rsid w:val="00571503"/>
    <w:rsid w:val="005717C5"/>
    <w:rsid w:val="00572083"/>
    <w:rsid w:val="00572A8B"/>
    <w:rsid w:val="0057340B"/>
    <w:rsid w:val="00573879"/>
    <w:rsid w:val="005746D3"/>
    <w:rsid w:val="00575180"/>
    <w:rsid w:val="00576F45"/>
    <w:rsid w:val="00580090"/>
    <w:rsid w:val="00580806"/>
    <w:rsid w:val="00582F2E"/>
    <w:rsid w:val="00584FC7"/>
    <w:rsid w:val="00585D90"/>
    <w:rsid w:val="00586689"/>
    <w:rsid w:val="00586AEA"/>
    <w:rsid w:val="00586DD7"/>
    <w:rsid w:val="00587965"/>
    <w:rsid w:val="00587DA9"/>
    <w:rsid w:val="00591565"/>
    <w:rsid w:val="00593434"/>
    <w:rsid w:val="00593449"/>
    <w:rsid w:val="00593FE6"/>
    <w:rsid w:val="005941C8"/>
    <w:rsid w:val="00594A86"/>
    <w:rsid w:val="00596166"/>
    <w:rsid w:val="00596506"/>
    <w:rsid w:val="005967CE"/>
    <w:rsid w:val="00596839"/>
    <w:rsid w:val="00596A20"/>
    <w:rsid w:val="00596C9C"/>
    <w:rsid w:val="005A18FC"/>
    <w:rsid w:val="005A2081"/>
    <w:rsid w:val="005A2827"/>
    <w:rsid w:val="005A30A0"/>
    <w:rsid w:val="005A3CB0"/>
    <w:rsid w:val="005A4389"/>
    <w:rsid w:val="005A6073"/>
    <w:rsid w:val="005A7686"/>
    <w:rsid w:val="005B0BC2"/>
    <w:rsid w:val="005B25CF"/>
    <w:rsid w:val="005B35B4"/>
    <w:rsid w:val="005B3D56"/>
    <w:rsid w:val="005B4F41"/>
    <w:rsid w:val="005B5D09"/>
    <w:rsid w:val="005B7E83"/>
    <w:rsid w:val="005C108F"/>
    <w:rsid w:val="005C157D"/>
    <w:rsid w:val="005C1EA9"/>
    <w:rsid w:val="005C239D"/>
    <w:rsid w:val="005C59E5"/>
    <w:rsid w:val="005C63CF"/>
    <w:rsid w:val="005C664C"/>
    <w:rsid w:val="005C6895"/>
    <w:rsid w:val="005C7E07"/>
    <w:rsid w:val="005D0CD6"/>
    <w:rsid w:val="005D1CF3"/>
    <w:rsid w:val="005D1F39"/>
    <w:rsid w:val="005D2500"/>
    <w:rsid w:val="005D32D1"/>
    <w:rsid w:val="005D498D"/>
    <w:rsid w:val="005D5F31"/>
    <w:rsid w:val="005D7800"/>
    <w:rsid w:val="005E025E"/>
    <w:rsid w:val="005E0F3D"/>
    <w:rsid w:val="005E177E"/>
    <w:rsid w:val="005E1B9A"/>
    <w:rsid w:val="005E2925"/>
    <w:rsid w:val="005E533E"/>
    <w:rsid w:val="005E595C"/>
    <w:rsid w:val="005E5B91"/>
    <w:rsid w:val="005E6144"/>
    <w:rsid w:val="005E7563"/>
    <w:rsid w:val="005E7710"/>
    <w:rsid w:val="005E7ACA"/>
    <w:rsid w:val="005F01E2"/>
    <w:rsid w:val="005F07D7"/>
    <w:rsid w:val="005F08D0"/>
    <w:rsid w:val="005F1879"/>
    <w:rsid w:val="005F21B2"/>
    <w:rsid w:val="005F310A"/>
    <w:rsid w:val="005F427C"/>
    <w:rsid w:val="005F518F"/>
    <w:rsid w:val="005F5521"/>
    <w:rsid w:val="005F6A3E"/>
    <w:rsid w:val="00602399"/>
    <w:rsid w:val="00603636"/>
    <w:rsid w:val="00605D72"/>
    <w:rsid w:val="006066E0"/>
    <w:rsid w:val="006109DC"/>
    <w:rsid w:val="00610DAE"/>
    <w:rsid w:val="00611BD3"/>
    <w:rsid w:val="00611CB1"/>
    <w:rsid w:val="00612985"/>
    <w:rsid w:val="0061384E"/>
    <w:rsid w:val="00616009"/>
    <w:rsid w:val="00617013"/>
    <w:rsid w:val="006179FA"/>
    <w:rsid w:val="00621A55"/>
    <w:rsid w:val="0062341C"/>
    <w:rsid w:val="00623AC5"/>
    <w:rsid w:val="006245A8"/>
    <w:rsid w:val="00624703"/>
    <w:rsid w:val="006253B9"/>
    <w:rsid w:val="00626DBF"/>
    <w:rsid w:val="00630077"/>
    <w:rsid w:val="00630962"/>
    <w:rsid w:val="0063121C"/>
    <w:rsid w:val="006315F9"/>
    <w:rsid w:val="006317B0"/>
    <w:rsid w:val="00632BF3"/>
    <w:rsid w:val="006332AC"/>
    <w:rsid w:val="00636DE6"/>
    <w:rsid w:val="00641178"/>
    <w:rsid w:val="00644913"/>
    <w:rsid w:val="00645375"/>
    <w:rsid w:val="006460FF"/>
    <w:rsid w:val="00646551"/>
    <w:rsid w:val="00647A7F"/>
    <w:rsid w:val="006500B9"/>
    <w:rsid w:val="00650464"/>
    <w:rsid w:val="006513AB"/>
    <w:rsid w:val="006515EB"/>
    <w:rsid w:val="00651CA8"/>
    <w:rsid w:val="006520DB"/>
    <w:rsid w:val="00652324"/>
    <w:rsid w:val="00653EE4"/>
    <w:rsid w:val="00656ACA"/>
    <w:rsid w:val="00656EA9"/>
    <w:rsid w:val="006570CA"/>
    <w:rsid w:val="00657334"/>
    <w:rsid w:val="00661323"/>
    <w:rsid w:val="00661441"/>
    <w:rsid w:val="006617C2"/>
    <w:rsid w:val="006630BD"/>
    <w:rsid w:val="006635BA"/>
    <w:rsid w:val="00664626"/>
    <w:rsid w:val="00665174"/>
    <w:rsid w:val="00665EDF"/>
    <w:rsid w:val="006721F1"/>
    <w:rsid w:val="00674984"/>
    <w:rsid w:val="006750FE"/>
    <w:rsid w:val="00675F9C"/>
    <w:rsid w:val="00676300"/>
    <w:rsid w:val="00676798"/>
    <w:rsid w:val="00680689"/>
    <w:rsid w:val="006816A4"/>
    <w:rsid w:val="00681CE3"/>
    <w:rsid w:val="0068269A"/>
    <w:rsid w:val="00682982"/>
    <w:rsid w:val="006846E2"/>
    <w:rsid w:val="00684C3E"/>
    <w:rsid w:val="006867F5"/>
    <w:rsid w:val="00686997"/>
    <w:rsid w:val="00686B9D"/>
    <w:rsid w:val="00687F46"/>
    <w:rsid w:val="00690359"/>
    <w:rsid w:val="00691095"/>
    <w:rsid w:val="00691215"/>
    <w:rsid w:val="00692164"/>
    <w:rsid w:val="006943D4"/>
    <w:rsid w:val="006969DF"/>
    <w:rsid w:val="00697A8C"/>
    <w:rsid w:val="006A0D63"/>
    <w:rsid w:val="006A0D65"/>
    <w:rsid w:val="006A3CB0"/>
    <w:rsid w:val="006A4AD2"/>
    <w:rsid w:val="006A4CFB"/>
    <w:rsid w:val="006A507B"/>
    <w:rsid w:val="006A5531"/>
    <w:rsid w:val="006A6192"/>
    <w:rsid w:val="006A6594"/>
    <w:rsid w:val="006B0375"/>
    <w:rsid w:val="006B0596"/>
    <w:rsid w:val="006B0AD8"/>
    <w:rsid w:val="006B1976"/>
    <w:rsid w:val="006B2B43"/>
    <w:rsid w:val="006B3317"/>
    <w:rsid w:val="006B4CEB"/>
    <w:rsid w:val="006B4E44"/>
    <w:rsid w:val="006B6473"/>
    <w:rsid w:val="006C0D50"/>
    <w:rsid w:val="006C0D52"/>
    <w:rsid w:val="006C1AB3"/>
    <w:rsid w:val="006C2CEF"/>
    <w:rsid w:val="006C34D8"/>
    <w:rsid w:val="006C3883"/>
    <w:rsid w:val="006C4495"/>
    <w:rsid w:val="006D037A"/>
    <w:rsid w:val="006D079A"/>
    <w:rsid w:val="006D1924"/>
    <w:rsid w:val="006D236B"/>
    <w:rsid w:val="006D26A0"/>
    <w:rsid w:val="006D2CD6"/>
    <w:rsid w:val="006D4A3D"/>
    <w:rsid w:val="006D5C1A"/>
    <w:rsid w:val="006D615B"/>
    <w:rsid w:val="006D63A0"/>
    <w:rsid w:val="006D65D6"/>
    <w:rsid w:val="006D741B"/>
    <w:rsid w:val="006D7804"/>
    <w:rsid w:val="006E0435"/>
    <w:rsid w:val="006E1632"/>
    <w:rsid w:val="006E1BD7"/>
    <w:rsid w:val="006E2439"/>
    <w:rsid w:val="006E334F"/>
    <w:rsid w:val="006E3615"/>
    <w:rsid w:val="006E3E37"/>
    <w:rsid w:val="006E445D"/>
    <w:rsid w:val="006F0040"/>
    <w:rsid w:val="006F044A"/>
    <w:rsid w:val="006F0F1D"/>
    <w:rsid w:val="006F3B40"/>
    <w:rsid w:val="006F3F25"/>
    <w:rsid w:val="006F5C1E"/>
    <w:rsid w:val="006F7235"/>
    <w:rsid w:val="007004D9"/>
    <w:rsid w:val="00700561"/>
    <w:rsid w:val="007005C8"/>
    <w:rsid w:val="00701A62"/>
    <w:rsid w:val="00701FD4"/>
    <w:rsid w:val="0070260D"/>
    <w:rsid w:val="0070476F"/>
    <w:rsid w:val="007047B7"/>
    <w:rsid w:val="0070580D"/>
    <w:rsid w:val="007068B6"/>
    <w:rsid w:val="00711AE8"/>
    <w:rsid w:val="007124F4"/>
    <w:rsid w:val="00713D23"/>
    <w:rsid w:val="007150CF"/>
    <w:rsid w:val="00717D63"/>
    <w:rsid w:val="00721870"/>
    <w:rsid w:val="0072194D"/>
    <w:rsid w:val="00721D93"/>
    <w:rsid w:val="00721DC6"/>
    <w:rsid w:val="00721EAF"/>
    <w:rsid w:val="0072216F"/>
    <w:rsid w:val="007228AC"/>
    <w:rsid w:val="0072375B"/>
    <w:rsid w:val="00724565"/>
    <w:rsid w:val="007250D7"/>
    <w:rsid w:val="00726DD3"/>
    <w:rsid w:val="00727D9C"/>
    <w:rsid w:val="007301EC"/>
    <w:rsid w:val="00730E13"/>
    <w:rsid w:val="00731FE8"/>
    <w:rsid w:val="007331FD"/>
    <w:rsid w:val="007344D6"/>
    <w:rsid w:val="0073503D"/>
    <w:rsid w:val="00735EFC"/>
    <w:rsid w:val="0073623E"/>
    <w:rsid w:val="00736279"/>
    <w:rsid w:val="0073665C"/>
    <w:rsid w:val="00736A2A"/>
    <w:rsid w:val="00736B45"/>
    <w:rsid w:val="00737010"/>
    <w:rsid w:val="00737C66"/>
    <w:rsid w:val="0074122F"/>
    <w:rsid w:val="00741F82"/>
    <w:rsid w:val="00742606"/>
    <w:rsid w:val="0074265A"/>
    <w:rsid w:val="007442B2"/>
    <w:rsid w:val="00744518"/>
    <w:rsid w:val="007517B7"/>
    <w:rsid w:val="00751EC8"/>
    <w:rsid w:val="00753E94"/>
    <w:rsid w:val="007557D9"/>
    <w:rsid w:val="007565F0"/>
    <w:rsid w:val="00757221"/>
    <w:rsid w:val="00757F4D"/>
    <w:rsid w:val="00760545"/>
    <w:rsid w:val="00761969"/>
    <w:rsid w:val="00761BF8"/>
    <w:rsid w:val="00761C90"/>
    <w:rsid w:val="00764ACA"/>
    <w:rsid w:val="007658E5"/>
    <w:rsid w:val="007661E9"/>
    <w:rsid w:val="00766D99"/>
    <w:rsid w:val="00766E19"/>
    <w:rsid w:val="00770D43"/>
    <w:rsid w:val="0077134E"/>
    <w:rsid w:val="00771372"/>
    <w:rsid w:val="00771517"/>
    <w:rsid w:val="00771DD4"/>
    <w:rsid w:val="00772242"/>
    <w:rsid w:val="00772714"/>
    <w:rsid w:val="00774062"/>
    <w:rsid w:val="00774206"/>
    <w:rsid w:val="007745C1"/>
    <w:rsid w:val="007752A5"/>
    <w:rsid w:val="00776963"/>
    <w:rsid w:val="00777B72"/>
    <w:rsid w:val="00780678"/>
    <w:rsid w:val="00780BFE"/>
    <w:rsid w:val="00781A94"/>
    <w:rsid w:val="00781B79"/>
    <w:rsid w:val="00782A42"/>
    <w:rsid w:val="0078430D"/>
    <w:rsid w:val="00784D3D"/>
    <w:rsid w:val="00784D6B"/>
    <w:rsid w:val="00784FEA"/>
    <w:rsid w:val="00785FC6"/>
    <w:rsid w:val="0078624F"/>
    <w:rsid w:val="007866B8"/>
    <w:rsid w:val="007869BE"/>
    <w:rsid w:val="00786A55"/>
    <w:rsid w:val="00786F2B"/>
    <w:rsid w:val="00787221"/>
    <w:rsid w:val="00787CB8"/>
    <w:rsid w:val="0079188E"/>
    <w:rsid w:val="007928E3"/>
    <w:rsid w:val="007935C7"/>
    <w:rsid w:val="00793DAD"/>
    <w:rsid w:val="00795252"/>
    <w:rsid w:val="0079615B"/>
    <w:rsid w:val="00796787"/>
    <w:rsid w:val="00796F38"/>
    <w:rsid w:val="007A23A7"/>
    <w:rsid w:val="007A399B"/>
    <w:rsid w:val="007A415B"/>
    <w:rsid w:val="007A416D"/>
    <w:rsid w:val="007A60BF"/>
    <w:rsid w:val="007A68EA"/>
    <w:rsid w:val="007A7716"/>
    <w:rsid w:val="007A7B75"/>
    <w:rsid w:val="007B19E7"/>
    <w:rsid w:val="007B1CF8"/>
    <w:rsid w:val="007B2102"/>
    <w:rsid w:val="007B2329"/>
    <w:rsid w:val="007B28AD"/>
    <w:rsid w:val="007B324B"/>
    <w:rsid w:val="007B3614"/>
    <w:rsid w:val="007B394C"/>
    <w:rsid w:val="007B3FC5"/>
    <w:rsid w:val="007B5024"/>
    <w:rsid w:val="007B5236"/>
    <w:rsid w:val="007B5830"/>
    <w:rsid w:val="007B5E03"/>
    <w:rsid w:val="007B630E"/>
    <w:rsid w:val="007B6D2F"/>
    <w:rsid w:val="007C02B9"/>
    <w:rsid w:val="007C07E0"/>
    <w:rsid w:val="007C0D4D"/>
    <w:rsid w:val="007C1E51"/>
    <w:rsid w:val="007C1FBA"/>
    <w:rsid w:val="007C2BB1"/>
    <w:rsid w:val="007C2C02"/>
    <w:rsid w:val="007C2EED"/>
    <w:rsid w:val="007C3EAD"/>
    <w:rsid w:val="007C4A68"/>
    <w:rsid w:val="007D001B"/>
    <w:rsid w:val="007D0786"/>
    <w:rsid w:val="007D28DD"/>
    <w:rsid w:val="007D3722"/>
    <w:rsid w:val="007D3E30"/>
    <w:rsid w:val="007D4E04"/>
    <w:rsid w:val="007D578B"/>
    <w:rsid w:val="007E0EC2"/>
    <w:rsid w:val="007E1215"/>
    <w:rsid w:val="007E1BEC"/>
    <w:rsid w:val="007E220D"/>
    <w:rsid w:val="007E2A5B"/>
    <w:rsid w:val="007E404A"/>
    <w:rsid w:val="007E50D4"/>
    <w:rsid w:val="007E78BB"/>
    <w:rsid w:val="007E7E0D"/>
    <w:rsid w:val="007F0817"/>
    <w:rsid w:val="007F23F0"/>
    <w:rsid w:val="007F2E09"/>
    <w:rsid w:val="007F4646"/>
    <w:rsid w:val="007F5685"/>
    <w:rsid w:val="007F5737"/>
    <w:rsid w:val="007F5B91"/>
    <w:rsid w:val="007F5BC3"/>
    <w:rsid w:val="007F5D5E"/>
    <w:rsid w:val="007F765D"/>
    <w:rsid w:val="00801A2D"/>
    <w:rsid w:val="008026D0"/>
    <w:rsid w:val="008049A7"/>
    <w:rsid w:val="00804CBB"/>
    <w:rsid w:val="00804DF9"/>
    <w:rsid w:val="00805E6D"/>
    <w:rsid w:val="00805ECD"/>
    <w:rsid w:val="00806CB4"/>
    <w:rsid w:val="0080722E"/>
    <w:rsid w:val="00810506"/>
    <w:rsid w:val="008110C9"/>
    <w:rsid w:val="008113DB"/>
    <w:rsid w:val="00812EFE"/>
    <w:rsid w:val="0081304F"/>
    <w:rsid w:val="00813106"/>
    <w:rsid w:val="008138CC"/>
    <w:rsid w:val="0081419D"/>
    <w:rsid w:val="008141BA"/>
    <w:rsid w:val="0081431D"/>
    <w:rsid w:val="00814813"/>
    <w:rsid w:val="008148A1"/>
    <w:rsid w:val="00814E47"/>
    <w:rsid w:val="008155B7"/>
    <w:rsid w:val="008161D4"/>
    <w:rsid w:val="0081666F"/>
    <w:rsid w:val="00816C39"/>
    <w:rsid w:val="00817FA1"/>
    <w:rsid w:val="00820615"/>
    <w:rsid w:val="00821399"/>
    <w:rsid w:val="00821A7E"/>
    <w:rsid w:val="00824564"/>
    <w:rsid w:val="00825E8D"/>
    <w:rsid w:val="00827524"/>
    <w:rsid w:val="008325CC"/>
    <w:rsid w:val="008326B8"/>
    <w:rsid w:val="00833B77"/>
    <w:rsid w:val="00835FE0"/>
    <w:rsid w:val="00836097"/>
    <w:rsid w:val="008373ED"/>
    <w:rsid w:val="00837571"/>
    <w:rsid w:val="00837AEE"/>
    <w:rsid w:val="00841D6A"/>
    <w:rsid w:val="008423E1"/>
    <w:rsid w:val="00843142"/>
    <w:rsid w:val="008474C0"/>
    <w:rsid w:val="008477BF"/>
    <w:rsid w:val="008502A0"/>
    <w:rsid w:val="00850321"/>
    <w:rsid w:val="008526D4"/>
    <w:rsid w:val="00853F7C"/>
    <w:rsid w:val="00857013"/>
    <w:rsid w:val="008571D1"/>
    <w:rsid w:val="008572D2"/>
    <w:rsid w:val="00857467"/>
    <w:rsid w:val="008622F2"/>
    <w:rsid w:val="00862408"/>
    <w:rsid w:val="00862600"/>
    <w:rsid w:val="00862689"/>
    <w:rsid w:val="008628D8"/>
    <w:rsid w:val="00862D45"/>
    <w:rsid w:val="0086349C"/>
    <w:rsid w:val="008638A3"/>
    <w:rsid w:val="0086437C"/>
    <w:rsid w:val="0086756E"/>
    <w:rsid w:val="00870067"/>
    <w:rsid w:val="00870ABE"/>
    <w:rsid w:val="008717BC"/>
    <w:rsid w:val="00871AA3"/>
    <w:rsid w:val="00872AB7"/>
    <w:rsid w:val="00872E5F"/>
    <w:rsid w:val="00872FAE"/>
    <w:rsid w:val="00873B75"/>
    <w:rsid w:val="008742A9"/>
    <w:rsid w:val="008744EB"/>
    <w:rsid w:val="00875033"/>
    <w:rsid w:val="00875A20"/>
    <w:rsid w:val="00877D52"/>
    <w:rsid w:val="00881256"/>
    <w:rsid w:val="00881B37"/>
    <w:rsid w:val="00883231"/>
    <w:rsid w:val="00884E0D"/>
    <w:rsid w:val="00884E8D"/>
    <w:rsid w:val="0088596E"/>
    <w:rsid w:val="00890F48"/>
    <w:rsid w:val="00891CA2"/>
    <w:rsid w:val="00892C92"/>
    <w:rsid w:val="00892DFC"/>
    <w:rsid w:val="00893646"/>
    <w:rsid w:val="00894122"/>
    <w:rsid w:val="00895B3F"/>
    <w:rsid w:val="00896356"/>
    <w:rsid w:val="008A2430"/>
    <w:rsid w:val="008A2E27"/>
    <w:rsid w:val="008A3234"/>
    <w:rsid w:val="008A4095"/>
    <w:rsid w:val="008A41CA"/>
    <w:rsid w:val="008A5883"/>
    <w:rsid w:val="008A5D1B"/>
    <w:rsid w:val="008B0D9F"/>
    <w:rsid w:val="008B24A6"/>
    <w:rsid w:val="008B3CD0"/>
    <w:rsid w:val="008B4263"/>
    <w:rsid w:val="008B5FDD"/>
    <w:rsid w:val="008C008D"/>
    <w:rsid w:val="008C0BFB"/>
    <w:rsid w:val="008C10CF"/>
    <w:rsid w:val="008C1817"/>
    <w:rsid w:val="008C224E"/>
    <w:rsid w:val="008C23A8"/>
    <w:rsid w:val="008C2AB6"/>
    <w:rsid w:val="008C355A"/>
    <w:rsid w:val="008C460B"/>
    <w:rsid w:val="008C4679"/>
    <w:rsid w:val="008C4D33"/>
    <w:rsid w:val="008D0A04"/>
    <w:rsid w:val="008D1D53"/>
    <w:rsid w:val="008D2E59"/>
    <w:rsid w:val="008D2FBC"/>
    <w:rsid w:val="008D43DE"/>
    <w:rsid w:val="008D5523"/>
    <w:rsid w:val="008D5B68"/>
    <w:rsid w:val="008D64E0"/>
    <w:rsid w:val="008E0457"/>
    <w:rsid w:val="008E16E9"/>
    <w:rsid w:val="008E3A82"/>
    <w:rsid w:val="008E3EEB"/>
    <w:rsid w:val="008E490B"/>
    <w:rsid w:val="008E5252"/>
    <w:rsid w:val="008F2F5F"/>
    <w:rsid w:val="008F4D36"/>
    <w:rsid w:val="008F5317"/>
    <w:rsid w:val="008F5956"/>
    <w:rsid w:val="008F71C3"/>
    <w:rsid w:val="008F76AC"/>
    <w:rsid w:val="009011EB"/>
    <w:rsid w:val="00901E3C"/>
    <w:rsid w:val="0090260F"/>
    <w:rsid w:val="00902BD7"/>
    <w:rsid w:val="0090331C"/>
    <w:rsid w:val="00904548"/>
    <w:rsid w:val="00905E66"/>
    <w:rsid w:val="00906714"/>
    <w:rsid w:val="0090782D"/>
    <w:rsid w:val="00907884"/>
    <w:rsid w:val="00910F1B"/>
    <w:rsid w:val="009113F4"/>
    <w:rsid w:val="00911FBB"/>
    <w:rsid w:val="00912D04"/>
    <w:rsid w:val="0091430A"/>
    <w:rsid w:val="0091522A"/>
    <w:rsid w:val="0091580D"/>
    <w:rsid w:val="00921876"/>
    <w:rsid w:val="00921F9C"/>
    <w:rsid w:val="00923E73"/>
    <w:rsid w:val="00925BA9"/>
    <w:rsid w:val="00927FA1"/>
    <w:rsid w:val="00930D8D"/>
    <w:rsid w:val="009317B2"/>
    <w:rsid w:val="009325A9"/>
    <w:rsid w:val="0093478A"/>
    <w:rsid w:val="00934963"/>
    <w:rsid w:val="00934BA6"/>
    <w:rsid w:val="00935B2D"/>
    <w:rsid w:val="00936005"/>
    <w:rsid w:val="00937171"/>
    <w:rsid w:val="0094105E"/>
    <w:rsid w:val="00943860"/>
    <w:rsid w:val="00943E76"/>
    <w:rsid w:val="00945870"/>
    <w:rsid w:val="00945BA1"/>
    <w:rsid w:val="009469A5"/>
    <w:rsid w:val="009470CC"/>
    <w:rsid w:val="0094769E"/>
    <w:rsid w:val="009509AD"/>
    <w:rsid w:val="00951D51"/>
    <w:rsid w:val="009527D7"/>
    <w:rsid w:val="00952ECE"/>
    <w:rsid w:val="00953786"/>
    <w:rsid w:val="009553C0"/>
    <w:rsid w:val="00955E2B"/>
    <w:rsid w:val="009566CC"/>
    <w:rsid w:val="00960493"/>
    <w:rsid w:val="0096056F"/>
    <w:rsid w:val="0096379C"/>
    <w:rsid w:val="0096380B"/>
    <w:rsid w:val="00963B29"/>
    <w:rsid w:val="00965A03"/>
    <w:rsid w:val="00965C6E"/>
    <w:rsid w:val="00966A23"/>
    <w:rsid w:val="009705F9"/>
    <w:rsid w:val="0097065D"/>
    <w:rsid w:val="00970A5D"/>
    <w:rsid w:val="0097316A"/>
    <w:rsid w:val="00976BAA"/>
    <w:rsid w:val="00977D92"/>
    <w:rsid w:val="00977E92"/>
    <w:rsid w:val="009810AD"/>
    <w:rsid w:val="00981210"/>
    <w:rsid w:val="009816FE"/>
    <w:rsid w:val="00981A68"/>
    <w:rsid w:val="009837C6"/>
    <w:rsid w:val="00983A7D"/>
    <w:rsid w:val="00985B0C"/>
    <w:rsid w:val="009860D0"/>
    <w:rsid w:val="009865CF"/>
    <w:rsid w:val="00990875"/>
    <w:rsid w:val="009918A4"/>
    <w:rsid w:val="00991FD4"/>
    <w:rsid w:val="00993378"/>
    <w:rsid w:val="00993B6E"/>
    <w:rsid w:val="00994E7E"/>
    <w:rsid w:val="009958A2"/>
    <w:rsid w:val="00995E98"/>
    <w:rsid w:val="00995FB8"/>
    <w:rsid w:val="009970F7"/>
    <w:rsid w:val="009973B0"/>
    <w:rsid w:val="009A04E4"/>
    <w:rsid w:val="009A090D"/>
    <w:rsid w:val="009A0FC7"/>
    <w:rsid w:val="009A1282"/>
    <w:rsid w:val="009A1BBF"/>
    <w:rsid w:val="009A28F7"/>
    <w:rsid w:val="009A489F"/>
    <w:rsid w:val="009A5402"/>
    <w:rsid w:val="009A5CCA"/>
    <w:rsid w:val="009A621B"/>
    <w:rsid w:val="009A6F80"/>
    <w:rsid w:val="009B0717"/>
    <w:rsid w:val="009B0BC7"/>
    <w:rsid w:val="009B0E47"/>
    <w:rsid w:val="009B1591"/>
    <w:rsid w:val="009B1EE3"/>
    <w:rsid w:val="009B2153"/>
    <w:rsid w:val="009B215F"/>
    <w:rsid w:val="009B662C"/>
    <w:rsid w:val="009B7F41"/>
    <w:rsid w:val="009C0B06"/>
    <w:rsid w:val="009C0B1F"/>
    <w:rsid w:val="009C0B6E"/>
    <w:rsid w:val="009C0EB1"/>
    <w:rsid w:val="009C1659"/>
    <w:rsid w:val="009C1DFB"/>
    <w:rsid w:val="009C33C9"/>
    <w:rsid w:val="009C3D67"/>
    <w:rsid w:val="009C3E82"/>
    <w:rsid w:val="009C40D6"/>
    <w:rsid w:val="009C56FB"/>
    <w:rsid w:val="009C5BDA"/>
    <w:rsid w:val="009C705B"/>
    <w:rsid w:val="009C7DE6"/>
    <w:rsid w:val="009D15E5"/>
    <w:rsid w:val="009D1B8B"/>
    <w:rsid w:val="009D1C56"/>
    <w:rsid w:val="009D36DE"/>
    <w:rsid w:val="009D3BB1"/>
    <w:rsid w:val="009D4986"/>
    <w:rsid w:val="009D556E"/>
    <w:rsid w:val="009D6FD9"/>
    <w:rsid w:val="009D7F82"/>
    <w:rsid w:val="009E2155"/>
    <w:rsid w:val="009E5A75"/>
    <w:rsid w:val="009E79E9"/>
    <w:rsid w:val="009F03E5"/>
    <w:rsid w:val="009F0F17"/>
    <w:rsid w:val="009F1083"/>
    <w:rsid w:val="009F29BB"/>
    <w:rsid w:val="009F35DE"/>
    <w:rsid w:val="009F4C6F"/>
    <w:rsid w:val="009F5E92"/>
    <w:rsid w:val="009F613E"/>
    <w:rsid w:val="009F64CB"/>
    <w:rsid w:val="009F694D"/>
    <w:rsid w:val="009F69DA"/>
    <w:rsid w:val="009F6A84"/>
    <w:rsid w:val="009F7A74"/>
    <w:rsid w:val="009F7B1C"/>
    <w:rsid w:val="009F7C02"/>
    <w:rsid w:val="00A002E1"/>
    <w:rsid w:val="00A00569"/>
    <w:rsid w:val="00A0185F"/>
    <w:rsid w:val="00A0374A"/>
    <w:rsid w:val="00A04810"/>
    <w:rsid w:val="00A04B1B"/>
    <w:rsid w:val="00A06900"/>
    <w:rsid w:val="00A07C90"/>
    <w:rsid w:val="00A12BD0"/>
    <w:rsid w:val="00A138DA"/>
    <w:rsid w:val="00A14701"/>
    <w:rsid w:val="00A1515B"/>
    <w:rsid w:val="00A17442"/>
    <w:rsid w:val="00A204FB"/>
    <w:rsid w:val="00A216A9"/>
    <w:rsid w:val="00A217DB"/>
    <w:rsid w:val="00A22A17"/>
    <w:rsid w:val="00A234BD"/>
    <w:rsid w:val="00A23AF9"/>
    <w:rsid w:val="00A242D9"/>
    <w:rsid w:val="00A26652"/>
    <w:rsid w:val="00A26A75"/>
    <w:rsid w:val="00A30930"/>
    <w:rsid w:val="00A3097D"/>
    <w:rsid w:val="00A3147A"/>
    <w:rsid w:val="00A315DB"/>
    <w:rsid w:val="00A317EF"/>
    <w:rsid w:val="00A31CE0"/>
    <w:rsid w:val="00A31E3B"/>
    <w:rsid w:val="00A32053"/>
    <w:rsid w:val="00A32AF8"/>
    <w:rsid w:val="00A33DFE"/>
    <w:rsid w:val="00A34F65"/>
    <w:rsid w:val="00A3589E"/>
    <w:rsid w:val="00A37485"/>
    <w:rsid w:val="00A40ACF"/>
    <w:rsid w:val="00A41783"/>
    <w:rsid w:val="00A42469"/>
    <w:rsid w:val="00A43419"/>
    <w:rsid w:val="00A4407A"/>
    <w:rsid w:val="00A447F0"/>
    <w:rsid w:val="00A44AE1"/>
    <w:rsid w:val="00A45E10"/>
    <w:rsid w:val="00A4621B"/>
    <w:rsid w:val="00A46F62"/>
    <w:rsid w:val="00A46FE3"/>
    <w:rsid w:val="00A47053"/>
    <w:rsid w:val="00A47059"/>
    <w:rsid w:val="00A4765C"/>
    <w:rsid w:val="00A4780A"/>
    <w:rsid w:val="00A5562B"/>
    <w:rsid w:val="00A55942"/>
    <w:rsid w:val="00A56D91"/>
    <w:rsid w:val="00A570B4"/>
    <w:rsid w:val="00A60606"/>
    <w:rsid w:val="00A60EA9"/>
    <w:rsid w:val="00A6151C"/>
    <w:rsid w:val="00A61939"/>
    <w:rsid w:val="00A62039"/>
    <w:rsid w:val="00A638CC"/>
    <w:rsid w:val="00A64278"/>
    <w:rsid w:val="00A66627"/>
    <w:rsid w:val="00A675D5"/>
    <w:rsid w:val="00A70EDD"/>
    <w:rsid w:val="00A71D90"/>
    <w:rsid w:val="00A72332"/>
    <w:rsid w:val="00A72533"/>
    <w:rsid w:val="00A73E2D"/>
    <w:rsid w:val="00A741AB"/>
    <w:rsid w:val="00A74D9B"/>
    <w:rsid w:val="00A758BE"/>
    <w:rsid w:val="00A766EC"/>
    <w:rsid w:val="00A767D1"/>
    <w:rsid w:val="00A773BB"/>
    <w:rsid w:val="00A77AA6"/>
    <w:rsid w:val="00A77C89"/>
    <w:rsid w:val="00A80C30"/>
    <w:rsid w:val="00A81838"/>
    <w:rsid w:val="00A823B7"/>
    <w:rsid w:val="00A84CD2"/>
    <w:rsid w:val="00A85098"/>
    <w:rsid w:val="00A85615"/>
    <w:rsid w:val="00A858D3"/>
    <w:rsid w:val="00A85A54"/>
    <w:rsid w:val="00A85B6D"/>
    <w:rsid w:val="00A873C7"/>
    <w:rsid w:val="00A87407"/>
    <w:rsid w:val="00A874A2"/>
    <w:rsid w:val="00A87D5C"/>
    <w:rsid w:val="00A9112E"/>
    <w:rsid w:val="00A92FF5"/>
    <w:rsid w:val="00A942BF"/>
    <w:rsid w:val="00A9498E"/>
    <w:rsid w:val="00A94C14"/>
    <w:rsid w:val="00A96B42"/>
    <w:rsid w:val="00A971B3"/>
    <w:rsid w:val="00AA0098"/>
    <w:rsid w:val="00AA1D0F"/>
    <w:rsid w:val="00AA27D8"/>
    <w:rsid w:val="00AA431F"/>
    <w:rsid w:val="00AA4B52"/>
    <w:rsid w:val="00AA6540"/>
    <w:rsid w:val="00AA7252"/>
    <w:rsid w:val="00AA7BA6"/>
    <w:rsid w:val="00AA7D28"/>
    <w:rsid w:val="00AB08F5"/>
    <w:rsid w:val="00AB0E91"/>
    <w:rsid w:val="00AB1BB9"/>
    <w:rsid w:val="00AB1E75"/>
    <w:rsid w:val="00AB386E"/>
    <w:rsid w:val="00AB4166"/>
    <w:rsid w:val="00AB4E5B"/>
    <w:rsid w:val="00AB5665"/>
    <w:rsid w:val="00AB5D15"/>
    <w:rsid w:val="00AB6BA1"/>
    <w:rsid w:val="00AB7283"/>
    <w:rsid w:val="00AB7CF6"/>
    <w:rsid w:val="00AC0687"/>
    <w:rsid w:val="00AC2024"/>
    <w:rsid w:val="00AC2545"/>
    <w:rsid w:val="00AC3570"/>
    <w:rsid w:val="00AC3ABD"/>
    <w:rsid w:val="00AC5329"/>
    <w:rsid w:val="00AC56FF"/>
    <w:rsid w:val="00AC59AF"/>
    <w:rsid w:val="00AC6D00"/>
    <w:rsid w:val="00AC6EA3"/>
    <w:rsid w:val="00AC70A1"/>
    <w:rsid w:val="00AC7CD7"/>
    <w:rsid w:val="00AD0F75"/>
    <w:rsid w:val="00AD49F5"/>
    <w:rsid w:val="00AD77A6"/>
    <w:rsid w:val="00AE0A4B"/>
    <w:rsid w:val="00AE40D7"/>
    <w:rsid w:val="00AE5A0F"/>
    <w:rsid w:val="00AE5B3F"/>
    <w:rsid w:val="00AF0D7F"/>
    <w:rsid w:val="00AF1300"/>
    <w:rsid w:val="00AF421C"/>
    <w:rsid w:val="00AF56C3"/>
    <w:rsid w:val="00AF5CB9"/>
    <w:rsid w:val="00AF65DC"/>
    <w:rsid w:val="00B0035D"/>
    <w:rsid w:val="00B00F10"/>
    <w:rsid w:val="00B017D0"/>
    <w:rsid w:val="00B0218F"/>
    <w:rsid w:val="00B023CA"/>
    <w:rsid w:val="00B046FA"/>
    <w:rsid w:val="00B05FD3"/>
    <w:rsid w:val="00B062B3"/>
    <w:rsid w:val="00B077CA"/>
    <w:rsid w:val="00B079C6"/>
    <w:rsid w:val="00B10069"/>
    <w:rsid w:val="00B10811"/>
    <w:rsid w:val="00B10E00"/>
    <w:rsid w:val="00B117D1"/>
    <w:rsid w:val="00B11B52"/>
    <w:rsid w:val="00B11C72"/>
    <w:rsid w:val="00B12758"/>
    <w:rsid w:val="00B150B4"/>
    <w:rsid w:val="00B15223"/>
    <w:rsid w:val="00B15B4A"/>
    <w:rsid w:val="00B15F79"/>
    <w:rsid w:val="00B16160"/>
    <w:rsid w:val="00B1722B"/>
    <w:rsid w:val="00B20951"/>
    <w:rsid w:val="00B20B93"/>
    <w:rsid w:val="00B20CC8"/>
    <w:rsid w:val="00B22068"/>
    <w:rsid w:val="00B22354"/>
    <w:rsid w:val="00B22901"/>
    <w:rsid w:val="00B229B6"/>
    <w:rsid w:val="00B23175"/>
    <w:rsid w:val="00B27C08"/>
    <w:rsid w:val="00B31A0E"/>
    <w:rsid w:val="00B33B63"/>
    <w:rsid w:val="00B35989"/>
    <w:rsid w:val="00B36CB9"/>
    <w:rsid w:val="00B37D93"/>
    <w:rsid w:val="00B405C8"/>
    <w:rsid w:val="00B41873"/>
    <w:rsid w:val="00B42224"/>
    <w:rsid w:val="00B45FCD"/>
    <w:rsid w:val="00B464BC"/>
    <w:rsid w:val="00B46EEA"/>
    <w:rsid w:val="00B47664"/>
    <w:rsid w:val="00B50966"/>
    <w:rsid w:val="00B55DB2"/>
    <w:rsid w:val="00B56002"/>
    <w:rsid w:val="00B61B8A"/>
    <w:rsid w:val="00B6311A"/>
    <w:rsid w:val="00B63399"/>
    <w:rsid w:val="00B63C33"/>
    <w:rsid w:val="00B63D54"/>
    <w:rsid w:val="00B64416"/>
    <w:rsid w:val="00B64731"/>
    <w:rsid w:val="00B647D8"/>
    <w:rsid w:val="00B64CED"/>
    <w:rsid w:val="00B6547C"/>
    <w:rsid w:val="00B66434"/>
    <w:rsid w:val="00B66EF8"/>
    <w:rsid w:val="00B703D6"/>
    <w:rsid w:val="00B704C5"/>
    <w:rsid w:val="00B70835"/>
    <w:rsid w:val="00B709F3"/>
    <w:rsid w:val="00B711EE"/>
    <w:rsid w:val="00B759D4"/>
    <w:rsid w:val="00B76004"/>
    <w:rsid w:val="00B77461"/>
    <w:rsid w:val="00B80495"/>
    <w:rsid w:val="00B80CE3"/>
    <w:rsid w:val="00B80E94"/>
    <w:rsid w:val="00B81D9F"/>
    <w:rsid w:val="00B81F1A"/>
    <w:rsid w:val="00B832FA"/>
    <w:rsid w:val="00B8788C"/>
    <w:rsid w:val="00B87B63"/>
    <w:rsid w:val="00B87E54"/>
    <w:rsid w:val="00B90570"/>
    <w:rsid w:val="00B90675"/>
    <w:rsid w:val="00B9105A"/>
    <w:rsid w:val="00B92ADC"/>
    <w:rsid w:val="00B92F05"/>
    <w:rsid w:val="00B92FEC"/>
    <w:rsid w:val="00B93214"/>
    <w:rsid w:val="00B93772"/>
    <w:rsid w:val="00B945DE"/>
    <w:rsid w:val="00B94E1E"/>
    <w:rsid w:val="00B96ABB"/>
    <w:rsid w:val="00B9750B"/>
    <w:rsid w:val="00BA0190"/>
    <w:rsid w:val="00BA0CDD"/>
    <w:rsid w:val="00BA0E73"/>
    <w:rsid w:val="00BA2422"/>
    <w:rsid w:val="00BA312E"/>
    <w:rsid w:val="00BA3B4B"/>
    <w:rsid w:val="00BA41E4"/>
    <w:rsid w:val="00BA5073"/>
    <w:rsid w:val="00BA6FE5"/>
    <w:rsid w:val="00BA73D1"/>
    <w:rsid w:val="00BA792A"/>
    <w:rsid w:val="00BA7D7E"/>
    <w:rsid w:val="00BB12BA"/>
    <w:rsid w:val="00BB1C31"/>
    <w:rsid w:val="00BB3BB0"/>
    <w:rsid w:val="00BB4947"/>
    <w:rsid w:val="00BB4A7B"/>
    <w:rsid w:val="00BB5316"/>
    <w:rsid w:val="00BB6C35"/>
    <w:rsid w:val="00BC2A51"/>
    <w:rsid w:val="00BC373F"/>
    <w:rsid w:val="00BC3C47"/>
    <w:rsid w:val="00BC6BE9"/>
    <w:rsid w:val="00BC6DEF"/>
    <w:rsid w:val="00BD0348"/>
    <w:rsid w:val="00BD0778"/>
    <w:rsid w:val="00BD1123"/>
    <w:rsid w:val="00BD3039"/>
    <w:rsid w:val="00BD61E1"/>
    <w:rsid w:val="00BD6A45"/>
    <w:rsid w:val="00BE10CC"/>
    <w:rsid w:val="00BE1D08"/>
    <w:rsid w:val="00BE5744"/>
    <w:rsid w:val="00BE601F"/>
    <w:rsid w:val="00BE78C8"/>
    <w:rsid w:val="00BE7C4F"/>
    <w:rsid w:val="00BF0579"/>
    <w:rsid w:val="00BF23DD"/>
    <w:rsid w:val="00BF32D9"/>
    <w:rsid w:val="00BF34C0"/>
    <w:rsid w:val="00BF4569"/>
    <w:rsid w:val="00BF5ADA"/>
    <w:rsid w:val="00BF643E"/>
    <w:rsid w:val="00BF679D"/>
    <w:rsid w:val="00BF67CC"/>
    <w:rsid w:val="00BF76F2"/>
    <w:rsid w:val="00C05785"/>
    <w:rsid w:val="00C05A67"/>
    <w:rsid w:val="00C0611A"/>
    <w:rsid w:val="00C07D3A"/>
    <w:rsid w:val="00C1022D"/>
    <w:rsid w:val="00C11984"/>
    <w:rsid w:val="00C11E63"/>
    <w:rsid w:val="00C1224F"/>
    <w:rsid w:val="00C122EB"/>
    <w:rsid w:val="00C12370"/>
    <w:rsid w:val="00C130DC"/>
    <w:rsid w:val="00C13C92"/>
    <w:rsid w:val="00C1419D"/>
    <w:rsid w:val="00C16B5F"/>
    <w:rsid w:val="00C1775E"/>
    <w:rsid w:val="00C21C28"/>
    <w:rsid w:val="00C23474"/>
    <w:rsid w:val="00C246EA"/>
    <w:rsid w:val="00C30667"/>
    <w:rsid w:val="00C311C2"/>
    <w:rsid w:val="00C325DB"/>
    <w:rsid w:val="00C328B9"/>
    <w:rsid w:val="00C3350F"/>
    <w:rsid w:val="00C34C88"/>
    <w:rsid w:val="00C355D9"/>
    <w:rsid w:val="00C357A4"/>
    <w:rsid w:val="00C35C8F"/>
    <w:rsid w:val="00C35E7F"/>
    <w:rsid w:val="00C3636D"/>
    <w:rsid w:val="00C36B4A"/>
    <w:rsid w:val="00C36D13"/>
    <w:rsid w:val="00C405F7"/>
    <w:rsid w:val="00C40D49"/>
    <w:rsid w:val="00C41E04"/>
    <w:rsid w:val="00C426D4"/>
    <w:rsid w:val="00C429F6"/>
    <w:rsid w:val="00C42B6E"/>
    <w:rsid w:val="00C42D90"/>
    <w:rsid w:val="00C4361C"/>
    <w:rsid w:val="00C43D39"/>
    <w:rsid w:val="00C4533E"/>
    <w:rsid w:val="00C45D90"/>
    <w:rsid w:val="00C460BF"/>
    <w:rsid w:val="00C46F5B"/>
    <w:rsid w:val="00C4700C"/>
    <w:rsid w:val="00C50A3D"/>
    <w:rsid w:val="00C52376"/>
    <w:rsid w:val="00C5267F"/>
    <w:rsid w:val="00C52E89"/>
    <w:rsid w:val="00C538FB"/>
    <w:rsid w:val="00C54789"/>
    <w:rsid w:val="00C5525D"/>
    <w:rsid w:val="00C56C22"/>
    <w:rsid w:val="00C56DAA"/>
    <w:rsid w:val="00C601F8"/>
    <w:rsid w:val="00C60B42"/>
    <w:rsid w:val="00C60CAC"/>
    <w:rsid w:val="00C61DD8"/>
    <w:rsid w:val="00C61F90"/>
    <w:rsid w:val="00C62DCD"/>
    <w:rsid w:val="00C64391"/>
    <w:rsid w:val="00C66935"/>
    <w:rsid w:val="00C66FE9"/>
    <w:rsid w:val="00C671CD"/>
    <w:rsid w:val="00C701B2"/>
    <w:rsid w:val="00C7040A"/>
    <w:rsid w:val="00C70C27"/>
    <w:rsid w:val="00C70F20"/>
    <w:rsid w:val="00C71AA0"/>
    <w:rsid w:val="00C720D8"/>
    <w:rsid w:val="00C728E9"/>
    <w:rsid w:val="00C729FE"/>
    <w:rsid w:val="00C73A47"/>
    <w:rsid w:val="00C742DF"/>
    <w:rsid w:val="00C7466C"/>
    <w:rsid w:val="00C7477D"/>
    <w:rsid w:val="00C76688"/>
    <w:rsid w:val="00C771D2"/>
    <w:rsid w:val="00C774CB"/>
    <w:rsid w:val="00C80F42"/>
    <w:rsid w:val="00C81852"/>
    <w:rsid w:val="00C824BF"/>
    <w:rsid w:val="00C82C35"/>
    <w:rsid w:val="00C83022"/>
    <w:rsid w:val="00C836D2"/>
    <w:rsid w:val="00C83D85"/>
    <w:rsid w:val="00C85900"/>
    <w:rsid w:val="00C864A2"/>
    <w:rsid w:val="00C8682A"/>
    <w:rsid w:val="00C92BCE"/>
    <w:rsid w:val="00C939F2"/>
    <w:rsid w:val="00C94283"/>
    <w:rsid w:val="00C946E0"/>
    <w:rsid w:val="00C95678"/>
    <w:rsid w:val="00C95689"/>
    <w:rsid w:val="00C96A9F"/>
    <w:rsid w:val="00CA11ED"/>
    <w:rsid w:val="00CA17CE"/>
    <w:rsid w:val="00CA2275"/>
    <w:rsid w:val="00CA2F1E"/>
    <w:rsid w:val="00CA5821"/>
    <w:rsid w:val="00CA7ED9"/>
    <w:rsid w:val="00CB0111"/>
    <w:rsid w:val="00CB0F7A"/>
    <w:rsid w:val="00CB2504"/>
    <w:rsid w:val="00CB32EA"/>
    <w:rsid w:val="00CB4562"/>
    <w:rsid w:val="00CB4FBB"/>
    <w:rsid w:val="00CB5911"/>
    <w:rsid w:val="00CB6964"/>
    <w:rsid w:val="00CB7E0B"/>
    <w:rsid w:val="00CC00F1"/>
    <w:rsid w:val="00CC063F"/>
    <w:rsid w:val="00CC142D"/>
    <w:rsid w:val="00CC16A9"/>
    <w:rsid w:val="00CC364B"/>
    <w:rsid w:val="00CC3E6F"/>
    <w:rsid w:val="00CC60AB"/>
    <w:rsid w:val="00CC7114"/>
    <w:rsid w:val="00CC7610"/>
    <w:rsid w:val="00CD03E4"/>
    <w:rsid w:val="00CD19D5"/>
    <w:rsid w:val="00CD1A2A"/>
    <w:rsid w:val="00CD212E"/>
    <w:rsid w:val="00CD2173"/>
    <w:rsid w:val="00CD21BF"/>
    <w:rsid w:val="00CD3756"/>
    <w:rsid w:val="00CD47E3"/>
    <w:rsid w:val="00CD5267"/>
    <w:rsid w:val="00CD53E3"/>
    <w:rsid w:val="00CD5DB5"/>
    <w:rsid w:val="00CD690E"/>
    <w:rsid w:val="00CD6DA4"/>
    <w:rsid w:val="00CD7AFB"/>
    <w:rsid w:val="00CD7B51"/>
    <w:rsid w:val="00CE019B"/>
    <w:rsid w:val="00CE16B2"/>
    <w:rsid w:val="00CE16C8"/>
    <w:rsid w:val="00CE3A2F"/>
    <w:rsid w:val="00CE5005"/>
    <w:rsid w:val="00CE58E8"/>
    <w:rsid w:val="00CF2091"/>
    <w:rsid w:val="00CF36D0"/>
    <w:rsid w:val="00CF41EB"/>
    <w:rsid w:val="00CF4784"/>
    <w:rsid w:val="00CF60DA"/>
    <w:rsid w:val="00CF732B"/>
    <w:rsid w:val="00CF7F22"/>
    <w:rsid w:val="00D0151D"/>
    <w:rsid w:val="00D01565"/>
    <w:rsid w:val="00D015CC"/>
    <w:rsid w:val="00D02038"/>
    <w:rsid w:val="00D02D5E"/>
    <w:rsid w:val="00D0320F"/>
    <w:rsid w:val="00D04AAE"/>
    <w:rsid w:val="00D05A46"/>
    <w:rsid w:val="00D06A9B"/>
    <w:rsid w:val="00D07A18"/>
    <w:rsid w:val="00D10071"/>
    <w:rsid w:val="00D1021B"/>
    <w:rsid w:val="00D10982"/>
    <w:rsid w:val="00D10BA9"/>
    <w:rsid w:val="00D12123"/>
    <w:rsid w:val="00D12B8E"/>
    <w:rsid w:val="00D1389C"/>
    <w:rsid w:val="00D13D57"/>
    <w:rsid w:val="00D1448B"/>
    <w:rsid w:val="00D151F0"/>
    <w:rsid w:val="00D21484"/>
    <w:rsid w:val="00D21FD5"/>
    <w:rsid w:val="00D21FE8"/>
    <w:rsid w:val="00D232D0"/>
    <w:rsid w:val="00D232D9"/>
    <w:rsid w:val="00D23D15"/>
    <w:rsid w:val="00D23D7C"/>
    <w:rsid w:val="00D2544B"/>
    <w:rsid w:val="00D258A3"/>
    <w:rsid w:val="00D260C9"/>
    <w:rsid w:val="00D269CC"/>
    <w:rsid w:val="00D26B76"/>
    <w:rsid w:val="00D27B25"/>
    <w:rsid w:val="00D27FF1"/>
    <w:rsid w:val="00D30019"/>
    <w:rsid w:val="00D307E2"/>
    <w:rsid w:val="00D30FF0"/>
    <w:rsid w:val="00D3178D"/>
    <w:rsid w:val="00D322C1"/>
    <w:rsid w:val="00D34A79"/>
    <w:rsid w:val="00D35EDB"/>
    <w:rsid w:val="00D3682B"/>
    <w:rsid w:val="00D36967"/>
    <w:rsid w:val="00D40188"/>
    <w:rsid w:val="00D41CA2"/>
    <w:rsid w:val="00D43249"/>
    <w:rsid w:val="00D43500"/>
    <w:rsid w:val="00D43FAA"/>
    <w:rsid w:val="00D456CD"/>
    <w:rsid w:val="00D45ED5"/>
    <w:rsid w:val="00D4643E"/>
    <w:rsid w:val="00D47328"/>
    <w:rsid w:val="00D5008C"/>
    <w:rsid w:val="00D50A8B"/>
    <w:rsid w:val="00D5240B"/>
    <w:rsid w:val="00D53026"/>
    <w:rsid w:val="00D53094"/>
    <w:rsid w:val="00D53B17"/>
    <w:rsid w:val="00D55305"/>
    <w:rsid w:val="00D5657F"/>
    <w:rsid w:val="00D5684E"/>
    <w:rsid w:val="00D56EEB"/>
    <w:rsid w:val="00D56F2D"/>
    <w:rsid w:val="00D57B34"/>
    <w:rsid w:val="00D57CA6"/>
    <w:rsid w:val="00D57DFA"/>
    <w:rsid w:val="00D61422"/>
    <w:rsid w:val="00D62810"/>
    <w:rsid w:val="00D6442C"/>
    <w:rsid w:val="00D64898"/>
    <w:rsid w:val="00D64A65"/>
    <w:rsid w:val="00D70BA4"/>
    <w:rsid w:val="00D71269"/>
    <w:rsid w:val="00D71E82"/>
    <w:rsid w:val="00D72576"/>
    <w:rsid w:val="00D73571"/>
    <w:rsid w:val="00D73DF6"/>
    <w:rsid w:val="00D76745"/>
    <w:rsid w:val="00D767C5"/>
    <w:rsid w:val="00D77E02"/>
    <w:rsid w:val="00D77F62"/>
    <w:rsid w:val="00D81DC6"/>
    <w:rsid w:val="00D8279B"/>
    <w:rsid w:val="00D82EAF"/>
    <w:rsid w:val="00D841C6"/>
    <w:rsid w:val="00D84296"/>
    <w:rsid w:val="00D84EAB"/>
    <w:rsid w:val="00D854A0"/>
    <w:rsid w:val="00D86191"/>
    <w:rsid w:val="00D863D0"/>
    <w:rsid w:val="00D866A8"/>
    <w:rsid w:val="00D8682A"/>
    <w:rsid w:val="00D900C5"/>
    <w:rsid w:val="00D91407"/>
    <w:rsid w:val="00D92D6B"/>
    <w:rsid w:val="00D93E77"/>
    <w:rsid w:val="00D94271"/>
    <w:rsid w:val="00D943EA"/>
    <w:rsid w:val="00D94760"/>
    <w:rsid w:val="00D9563D"/>
    <w:rsid w:val="00D95E15"/>
    <w:rsid w:val="00D9611E"/>
    <w:rsid w:val="00D97440"/>
    <w:rsid w:val="00DA0010"/>
    <w:rsid w:val="00DA0460"/>
    <w:rsid w:val="00DA20EC"/>
    <w:rsid w:val="00DA2415"/>
    <w:rsid w:val="00DA25FC"/>
    <w:rsid w:val="00DA2A7D"/>
    <w:rsid w:val="00DA3897"/>
    <w:rsid w:val="00DA3D92"/>
    <w:rsid w:val="00DA421D"/>
    <w:rsid w:val="00DA4FAE"/>
    <w:rsid w:val="00DA542C"/>
    <w:rsid w:val="00DA6985"/>
    <w:rsid w:val="00DB22DA"/>
    <w:rsid w:val="00DB2989"/>
    <w:rsid w:val="00DB3410"/>
    <w:rsid w:val="00DB408D"/>
    <w:rsid w:val="00DB5AB7"/>
    <w:rsid w:val="00DB5BB4"/>
    <w:rsid w:val="00DB6DA1"/>
    <w:rsid w:val="00DC02F0"/>
    <w:rsid w:val="00DC0D13"/>
    <w:rsid w:val="00DC0F5A"/>
    <w:rsid w:val="00DC1187"/>
    <w:rsid w:val="00DC3A4D"/>
    <w:rsid w:val="00DC6593"/>
    <w:rsid w:val="00DC789A"/>
    <w:rsid w:val="00DC7F84"/>
    <w:rsid w:val="00DD1A3A"/>
    <w:rsid w:val="00DD1F06"/>
    <w:rsid w:val="00DD231D"/>
    <w:rsid w:val="00DD23FF"/>
    <w:rsid w:val="00DD2458"/>
    <w:rsid w:val="00DD2526"/>
    <w:rsid w:val="00DD2639"/>
    <w:rsid w:val="00DD3F39"/>
    <w:rsid w:val="00DD444A"/>
    <w:rsid w:val="00DD45CF"/>
    <w:rsid w:val="00DD52A0"/>
    <w:rsid w:val="00DD5495"/>
    <w:rsid w:val="00DD6793"/>
    <w:rsid w:val="00DE08D2"/>
    <w:rsid w:val="00DE2389"/>
    <w:rsid w:val="00DE3FCF"/>
    <w:rsid w:val="00DE4072"/>
    <w:rsid w:val="00DE4ED6"/>
    <w:rsid w:val="00DE553B"/>
    <w:rsid w:val="00DE5991"/>
    <w:rsid w:val="00DE5B02"/>
    <w:rsid w:val="00DF0268"/>
    <w:rsid w:val="00DF09DE"/>
    <w:rsid w:val="00DF17BC"/>
    <w:rsid w:val="00DF1885"/>
    <w:rsid w:val="00DF204D"/>
    <w:rsid w:val="00DF345F"/>
    <w:rsid w:val="00DF3DD3"/>
    <w:rsid w:val="00DF43EC"/>
    <w:rsid w:val="00DF7106"/>
    <w:rsid w:val="00DF7143"/>
    <w:rsid w:val="00DF7612"/>
    <w:rsid w:val="00E0048B"/>
    <w:rsid w:val="00E0085D"/>
    <w:rsid w:val="00E00FC7"/>
    <w:rsid w:val="00E015AD"/>
    <w:rsid w:val="00E019F4"/>
    <w:rsid w:val="00E02554"/>
    <w:rsid w:val="00E02920"/>
    <w:rsid w:val="00E03444"/>
    <w:rsid w:val="00E05F5C"/>
    <w:rsid w:val="00E0672F"/>
    <w:rsid w:val="00E07B85"/>
    <w:rsid w:val="00E10688"/>
    <w:rsid w:val="00E11ED8"/>
    <w:rsid w:val="00E1276A"/>
    <w:rsid w:val="00E139AD"/>
    <w:rsid w:val="00E152D1"/>
    <w:rsid w:val="00E15940"/>
    <w:rsid w:val="00E165EA"/>
    <w:rsid w:val="00E175F8"/>
    <w:rsid w:val="00E17A9F"/>
    <w:rsid w:val="00E17F1E"/>
    <w:rsid w:val="00E17F3F"/>
    <w:rsid w:val="00E20B5C"/>
    <w:rsid w:val="00E20FAE"/>
    <w:rsid w:val="00E22B38"/>
    <w:rsid w:val="00E245D9"/>
    <w:rsid w:val="00E24C32"/>
    <w:rsid w:val="00E271EC"/>
    <w:rsid w:val="00E304C7"/>
    <w:rsid w:val="00E30515"/>
    <w:rsid w:val="00E30E4A"/>
    <w:rsid w:val="00E311AB"/>
    <w:rsid w:val="00E32086"/>
    <w:rsid w:val="00E323FE"/>
    <w:rsid w:val="00E33CF6"/>
    <w:rsid w:val="00E34601"/>
    <w:rsid w:val="00E35EF3"/>
    <w:rsid w:val="00E3768F"/>
    <w:rsid w:val="00E37EB8"/>
    <w:rsid w:val="00E42066"/>
    <w:rsid w:val="00E4263A"/>
    <w:rsid w:val="00E43E68"/>
    <w:rsid w:val="00E44471"/>
    <w:rsid w:val="00E452B7"/>
    <w:rsid w:val="00E453EF"/>
    <w:rsid w:val="00E4649A"/>
    <w:rsid w:val="00E46BCE"/>
    <w:rsid w:val="00E52373"/>
    <w:rsid w:val="00E52D48"/>
    <w:rsid w:val="00E54DD9"/>
    <w:rsid w:val="00E5596F"/>
    <w:rsid w:val="00E55D05"/>
    <w:rsid w:val="00E55DFD"/>
    <w:rsid w:val="00E5681F"/>
    <w:rsid w:val="00E56B57"/>
    <w:rsid w:val="00E57561"/>
    <w:rsid w:val="00E60225"/>
    <w:rsid w:val="00E60ACC"/>
    <w:rsid w:val="00E61328"/>
    <w:rsid w:val="00E61BCE"/>
    <w:rsid w:val="00E62FA2"/>
    <w:rsid w:val="00E63879"/>
    <w:rsid w:val="00E64263"/>
    <w:rsid w:val="00E65500"/>
    <w:rsid w:val="00E65EE8"/>
    <w:rsid w:val="00E66135"/>
    <w:rsid w:val="00E6635A"/>
    <w:rsid w:val="00E6660A"/>
    <w:rsid w:val="00E66983"/>
    <w:rsid w:val="00E679FC"/>
    <w:rsid w:val="00E7057B"/>
    <w:rsid w:val="00E708A0"/>
    <w:rsid w:val="00E746B3"/>
    <w:rsid w:val="00E749F4"/>
    <w:rsid w:val="00E74B25"/>
    <w:rsid w:val="00E7550F"/>
    <w:rsid w:val="00E7707E"/>
    <w:rsid w:val="00E771EB"/>
    <w:rsid w:val="00E77728"/>
    <w:rsid w:val="00E77A83"/>
    <w:rsid w:val="00E80389"/>
    <w:rsid w:val="00E80705"/>
    <w:rsid w:val="00E8088F"/>
    <w:rsid w:val="00E80D0C"/>
    <w:rsid w:val="00E8139E"/>
    <w:rsid w:val="00E83AA4"/>
    <w:rsid w:val="00E844AD"/>
    <w:rsid w:val="00E851B0"/>
    <w:rsid w:val="00E85535"/>
    <w:rsid w:val="00E870F1"/>
    <w:rsid w:val="00E873D2"/>
    <w:rsid w:val="00E901DA"/>
    <w:rsid w:val="00E90BAB"/>
    <w:rsid w:val="00E9117D"/>
    <w:rsid w:val="00E92166"/>
    <w:rsid w:val="00E9265A"/>
    <w:rsid w:val="00E939C8"/>
    <w:rsid w:val="00E944C9"/>
    <w:rsid w:val="00E9509E"/>
    <w:rsid w:val="00E95E90"/>
    <w:rsid w:val="00E96207"/>
    <w:rsid w:val="00E9621B"/>
    <w:rsid w:val="00E9697E"/>
    <w:rsid w:val="00EA140A"/>
    <w:rsid w:val="00EA1E40"/>
    <w:rsid w:val="00EA20D5"/>
    <w:rsid w:val="00EA2657"/>
    <w:rsid w:val="00EA3639"/>
    <w:rsid w:val="00EA3E8E"/>
    <w:rsid w:val="00EA4335"/>
    <w:rsid w:val="00EA65E9"/>
    <w:rsid w:val="00EA6DA3"/>
    <w:rsid w:val="00EA752C"/>
    <w:rsid w:val="00EA784C"/>
    <w:rsid w:val="00EB0D76"/>
    <w:rsid w:val="00EB18F0"/>
    <w:rsid w:val="00EB1DC5"/>
    <w:rsid w:val="00EB24F6"/>
    <w:rsid w:val="00EB26C8"/>
    <w:rsid w:val="00EB2D29"/>
    <w:rsid w:val="00EB38ED"/>
    <w:rsid w:val="00EB3B8C"/>
    <w:rsid w:val="00EB43D6"/>
    <w:rsid w:val="00EB469C"/>
    <w:rsid w:val="00EB505E"/>
    <w:rsid w:val="00EB51DF"/>
    <w:rsid w:val="00EB7529"/>
    <w:rsid w:val="00EB7B17"/>
    <w:rsid w:val="00EC01AB"/>
    <w:rsid w:val="00EC0D17"/>
    <w:rsid w:val="00EC0EAC"/>
    <w:rsid w:val="00EC204C"/>
    <w:rsid w:val="00EC2A87"/>
    <w:rsid w:val="00EC3349"/>
    <w:rsid w:val="00EC3671"/>
    <w:rsid w:val="00EC39E0"/>
    <w:rsid w:val="00EC650B"/>
    <w:rsid w:val="00ED0587"/>
    <w:rsid w:val="00ED11BD"/>
    <w:rsid w:val="00ED152C"/>
    <w:rsid w:val="00ED2473"/>
    <w:rsid w:val="00ED3863"/>
    <w:rsid w:val="00ED3A9D"/>
    <w:rsid w:val="00ED3B97"/>
    <w:rsid w:val="00ED4B1C"/>
    <w:rsid w:val="00ED6B8B"/>
    <w:rsid w:val="00EE22AE"/>
    <w:rsid w:val="00EE2513"/>
    <w:rsid w:val="00EE328A"/>
    <w:rsid w:val="00EE3C0A"/>
    <w:rsid w:val="00EE46B1"/>
    <w:rsid w:val="00EE4C37"/>
    <w:rsid w:val="00EE7549"/>
    <w:rsid w:val="00EF046D"/>
    <w:rsid w:val="00EF12E0"/>
    <w:rsid w:val="00EF3CB5"/>
    <w:rsid w:val="00EF42DB"/>
    <w:rsid w:val="00F00680"/>
    <w:rsid w:val="00F00865"/>
    <w:rsid w:val="00F00B4E"/>
    <w:rsid w:val="00F03998"/>
    <w:rsid w:val="00F06B54"/>
    <w:rsid w:val="00F07DFD"/>
    <w:rsid w:val="00F10216"/>
    <w:rsid w:val="00F10E59"/>
    <w:rsid w:val="00F136C6"/>
    <w:rsid w:val="00F13BB9"/>
    <w:rsid w:val="00F14024"/>
    <w:rsid w:val="00F15A79"/>
    <w:rsid w:val="00F15C89"/>
    <w:rsid w:val="00F16256"/>
    <w:rsid w:val="00F17916"/>
    <w:rsid w:val="00F211C5"/>
    <w:rsid w:val="00F21D69"/>
    <w:rsid w:val="00F21FB6"/>
    <w:rsid w:val="00F22E5F"/>
    <w:rsid w:val="00F22FF7"/>
    <w:rsid w:val="00F244B6"/>
    <w:rsid w:val="00F27A39"/>
    <w:rsid w:val="00F321EE"/>
    <w:rsid w:val="00F3376C"/>
    <w:rsid w:val="00F35517"/>
    <w:rsid w:val="00F364CD"/>
    <w:rsid w:val="00F3651C"/>
    <w:rsid w:val="00F3760C"/>
    <w:rsid w:val="00F401A0"/>
    <w:rsid w:val="00F40D9B"/>
    <w:rsid w:val="00F41A1D"/>
    <w:rsid w:val="00F4252B"/>
    <w:rsid w:val="00F43851"/>
    <w:rsid w:val="00F43EEF"/>
    <w:rsid w:val="00F44920"/>
    <w:rsid w:val="00F44A90"/>
    <w:rsid w:val="00F44C75"/>
    <w:rsid w:val="00F46B03"/>
    <w:rsid w:val="00F50B4D"/>
    <w:rsid w:val="00F512FA"/>
    <w:rsid w:val="00F5328B"/>
    <w:rsid w:val="00F54042"/>
    <w:rsid w:val="00F5454E"/>
    <w:rsid w:val="00F54591"/>
    <w:rsid w:val="00F555F6"/>
    <w:rsid w:val="00F57C4E"/>
    <w:rsid w:val="00F57F16"/>
    <w:rsid w:val="00F62292"/>
    <w:rsid w:val="00F63776"/>
    <w:rsid w:val="00F63DA6"/>
    <w:rsid w:val="00F65306"/>
    <w:rsid w:val="00F6573E"/>
    <w:rsid w:val="00F676A4"/>
    <w:rsid w:val="00F677EE"/>
    <w:rsid w:val="00F6789A"/>
    <w:rsid w:val="00F67996"/>
    <w:rsid w:val="00F73337"/>
    <w:rsid w:val="00F73717"/>
    <w:rsid w:val="00F73C7F"/>
    <w:rsid w:val="00F7403C"/>
    <w:rsid w:val="00F74B1A"/>
    <w:rsid w:val="00F76635"/>
    <w:rsid w:val="00F76A10"/>
    <w:rsid w:val="00F76CA7"/>
    <w:rsid w:val="00F772BD"/>
    <w:rsid w:val="00F777F3"/>
    <w:rsid w:val="00F77F48"/>
    <w:rsid w:val="00F800AF"/>
    <w:rsid w:val="00F808BC"/>
    <w:rsid w:val="00F81BC4"/>
    <w:rsid w:val="00F82053"/>
    <w:rsid w:val="00F82E56"/>
    <w:rsid w:val="00F84B09"/>
    <w:rsid w:val="00F84F6D"/>
    <w:rsid w:val="00F857A2"/>
    <w:rsid w:val="00F85BC6"/>
    <w:rsid w:val="00F85BFF"/>
    <w:rsid w:val="00F904A9"/>
    <w:rsid w:val="00F92283"/>
    <w:rsid w:val="00F925B3"/>
    <w:rsid w:val="00F92D10"/>
    <w:rsid w:val="00F93297"/>
    <w:rsid w:val="00F93965"/>
    <w:rsid w:val="00F95207"/>
    <w:rsid w:val="00F9629B"/>
    <w:rsid w:val="00F96471"/>
    <w:rsid w:val="00FA0E83"/>
    <w:rsid w:val="00FA29EA"/>
    <w:rsid w:val="00FA3411"/>
    <w:rsid w:val="00FA5573"/>
    <w:rsid w:val="00FA674A"/>
    <w:rsid w:val="00FA74C7"/>
    <w:rsid w:val="00FB06CD"/>
    <w:rsid w:val="00FB1261"/>
    <w:rsid w:val="00FB2480"/>
    <w:rsid w:val="00FB2B52"/>
    <w:rsid w:val="00FB2E33"/>
    <w:rsid w:val="00FB45CB"/>
    <w:rsid w:val="00FB577C"/>
    <w:rsid w:val="00FB5B22"/>
    <w:rsid w:val="00FB5F89"/>
    <w:rsid w:val="00FB758E"/>
    <w:rsid w:val="00FC0339"/>
    <w:rsid w:val="00FC0D31"/>
    <w:rsid w:val="00FC2A94"/>
    <w:rsid w:val="00FC33E3"/>
    <w:rsid w:val="00FC3EB3"/>
    <w:rsid w:val="00FC3F90"/>
    <w:rsid w:val="00FC6424"/>
    <w:rsid w:val="00FC6F1A"/>
    <w:rsid w:val="00FC70F8"/>
    <w:rsid w:val="00FD0316"/>
    <w:rsid w:val="00FD08B2"/>
    <w:rsid w:val="00FD220B"/>
    <w:rsid w:val="00FD2D92"/>
    <w:rsid w:val="00FD2EF8"/>
    <w:rsid w:val="00FD3B18"/>
    <w:rsid w:val="00FD4288"/>
    <w:rsid w:val="00FD432D"/>
    <w:rsid w:val="00FD6C50"/>
    <w:rsid w:val="00FD7F83"/>
    <w:rsid w:val="00FE0135"/>
    <w:rsid w:val="00FE1A28"/>
    <w:rsid w:val="00FE2A3F"/>
    <w:rsid w:val="00FE3B61"/>
    <w:rsid w:val="00FE4AB8"/>
    <w:rsid w:val="00FE578D"/>
    <w:rsid w:val="00FE610B"/>
    <w:rsid w:val="00FE6535"/>
    <w:rsid w:val="00FE7970"/>
    <w:rsid w:val="00FF023E"/>
    <w:rsid w:val="00FF0CAB"/>
    <w:rsid w:val="00FF226B"/>
    <w:rsid w:val="00FF25C7"/>
    <w:rsid w:val="00FF52E9"/>
    <w:rsid w:val="00FF57BE"/>
    <w:rsid w:val="00FF6ACF"/>
    <w:rsid w:val="00FF6EEE"/>
    <w:rsid w:val="01D2CD9B"/>
    <w:rsid w:val="036FD60E"/>
    <w:rsid w:val="03A7F77A"/>
    <w:rsid w:val="0419A13E"/>
    <w:rsid w:val="0450D542"/>
    <w:rsid w:val="071E0FC1"/>
    <w:rsid w:val="08627CBD"/>
    <w:rsid w:val="0ABCF9F8"/>
    <w:rsid w:val="0DF0930E"/>
    <w:rsid w:val="0E30E3F8"/>
    <w:rsid w:val="0E76427D"/>
    <w:rsid w:val="0F28F946"/>
    <w:rsid w:val="1120BBC8"/>
    <w:rsid w:val="120B5FB8"/>
    <w:rsid w:val="124E078E"/>
    <w:rsid w:val="15351BCC"/>
    <w:rsid w:val="15746775"/>
    <w:rsid w:val="16939C8B"/>
    <w:rsid w:val="1B62F3A1"/>
    <w:rsid w:val="203C4685"/>
    <w:rsid w:val="20A2D1FE"/>
    <w:rsid w:val="233C6AB7"/>
    <w:rsid w:val="2514C02B"/>
    <w:rsid w:val="254686F0"/>
    <w:rsid w:val="26F97E1D"/>
    <w:rsid w:val="2A8CB993"/>
    <w:rsid w:val="2C4B05A6"/>
    <w:rsid w:val="2E222401"/>
    <w:rsid w:val="302E3C11"/>
    <w:rsid w:val="348EAD60"/>
    <w:rsid w:val="38DAB4E7"/>
    <w:rsid w:val="41052BD4"/>
    <w:rsid w:val="414476E1"/>
    <w:rsid w:val="41AF35B6"/>
    <w:rsid w:val="42CCDFB6"/>
    <w:rsid w:val="45A60E2F"/>
    <w:rsid w:val="4B05703C"/>
    <w:rsid w:val="4B92DA14"/>
    <w:rsid w:val="4C6B4609"/>
    <w:rsid w:val="4E15E870"/>
    <w:rsid w:val="4F0C9D04"/>
    <w:rsid w:val="4FDA1CBF"/>
    <w:rsid w:val="54A4CF42"/>
    <w:rsid w:val="5BEE29D8"/>
    <w:rsid w:val="5D6E2F4D"/>
    <w:rsid w:val="5E5139AF"/>
    <w:rsid w:val="5EC5E956"/>
    <w:rsid w:val="6147D559"/>
    <w:rsid w:val="653EE044"/>
    <w:rsid w:val="65C57D35"/>
    <w:rsid w:val="68E33283"/>
    <w:rsid w:val="6A403F19"/>
    <w:rsid w:val="6B0D7301"/>
    <w:rsid w:val="6FADF48D"/>
    <w:rsid w:val="7085770E"/>
    <w:rsid w:val="71CAB1D1"/>
    <w:rsid w:val="71EE3BE9"/>
    <w:rsid w:val="73A69E47"/>
    <w:rsid w:val="73E8053B"/>
    <w:rsid w:val="76209477"/>
    <w:rsid w:val="76ECF7E5"/>
    <w:rsid w:val="77361AB8"/>
    <w:rsid w:val="7829E782"/>
    <w:rsid w:val="7B8A2B4C"/>
    <w:rsid w:val="7D33555D"/>
    <w:rsid w:val="7D71A06A"/>
    <w:rsid w:val="7DCF52D5"/>
    <w:rsid w:val="7E766981"/>
    <w:rsid w:val="7F11480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3F28A"/>
  <w15:docId w15:val="{3CEC2CD7-C175-4A43-AB2D-30F1C88E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062F2"/>
    <w:pPr>
      <w:keepNext/>
      <w:keepLines/>
      <w:spacing w:after="0" w:line="240" w:lineRule="auto"/>
      <w:outlineLvl w:val="0"/>
    </w:pPr>
    <w:rPr>
      <w:rFonts w:ascii="Arial" w:eastAsiaTheme="majorEastAsia" w:hAnsi="Arial" w:cstheme="majorBidi"/>
      <w:b/>
      <w:color w:val="000000" w:themeColor="text1"/>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766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6635"/>
    <w:rPr>
      <w:rFonts w:ascii="Segoe UI" w:hAnsi="Segoe UI" w:cs="Segoe UI"/>
      <w:sz w:val="18"/>
      <w:szCs w:val="18"/>
    </w:rPr>
  </w:style>
  <w:style w:type="paragraph" w:styleId="Zhlav">
    <w:name w:val="header"/>
    <w:basedOn w:val="Normln"/>
    <w:link w:val="ZhlavChar"/>
    <w:uiPriority w:val="99"/>
    <w:unhideWhenUsed/>
    <w:rsid w:val="006D63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63A0"/>
  </w:style>
  <w:style w:type="paragraph" w:styleId="Zpat">
    <w:name w:val="footer"/>
    <w:basedOn w:val="Normln"/>
    <w:link w:val="ZpatChar"/>
    <w:uiPriority w:val="99"/>
    <w:unhideWhenUsed/>
    <w:rsid w:val="006D63A0"/>
    <w:pPr>
      <w:tabs>
        <w:tab w:val="center" w:pos="4536"/>
        <w:tab w:val="right" w:pos="9072"/>
      </w:tabs>
      <w:spacing w:after="0" w:line="240" w:lineRule="auto"/>
    </w:pPr>
  </w:style>
  <w:style w:type="character" w:customStyle="1" w:styleId="ZpatChar">
    <w:name w:val="Zápatí Char"/>
    <w:basedOn w:val="Standardnpsmoodstavce"/>
    <w:link w:val="Zpat"/>
    <w:uiPriority w:val="99"/>
    <w:rsid w:val="006D63A0"/>
  </w:style>
  <w:style w:type="paragraph" w:customStyle="1" w:styleId="Default">
    <w:name w:val="Default"/>
    <w:rsid w:val="0046346D"/>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F2B62"/>
    <w:pPr>
      <w:spacing w:after="0" w:line="240" w:lineRule="auto"/>
    </w:p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
    <w:basedOn w:val="Normln"/>
    <w:link w:val="OdstavecseseznamemChar"/>
    <w:uiPriority w:val="34"/>
    <w:qFormat/>
    <w:rsid w:val="00B63D54"/>
    <w:pPr>
      <w:ind w:left="720"/>
      <w:contextualSpacing/>
    </w:pPr>
  </w:style>
  <w:style w:type="character" w:customStyle="1" w:styleId="normaltextrun">
    <w:name w:val="normaltextrun"/>
    <w:basedOn w:val="Standardnpsmoodstavce"/>
    <w:qFormat/>
    <w:rsid w:val="00351CF4"/>
  </w:style>
  <w:style w:type="character" w:customStyle="1" w:styleId="eop">
    <w:name w:val="eop"/>
    <w:basedOn w:val="Standardnpsmoodstavce"/>
    <w:qFormat/>
    <w:rsid w:val="00351CF4"/>
  </w:style>
  <w:style w:type="character" w:styleId="Odkaznakoment">
    <w:name w:val="annotation reference"/>
    <w:basedOn w:val="Standardnpsmoodstavce"/>
    <w:uiPriority w:val="99"/>
    <w:semiHidden/>
    <w:unhideWhenUsed/>
    <w:rsid w:val="00351CF4"/>
    <w:rPr>
      <w:sz w:val="16"/>
      <w:szCs w:val="16"/>
    </w:rPr>
  </w:style>
  <w:style w:type="paragraph" w:styleId="Textkomente">
    <w:name w:val="annotation text"/>
    <w:basedOn w:val="Normln"/>
    <w:link w:val="TextkomenteChar"/>
    <w:uiPriority w:val="99"/>
    <w:unhideWhenUsed/>
    <w:rsid w:val="00351CF4"/>
    <w:pPr>
      <w:spacing w:after="0" w:line="240" w:lineRule="auto"/>
      <w:jc w:val="both"/>
    </w:pPr>
    <w:rPr>
      <w:rFonts w:ascii="Calibri" w:hAnsi="Calibri"/>
      <w:sz w:val="20"/>
      <w:szCs w:val="20"/>
    </w:rPr>
  </w:style>
  <w:style w:type="character" w:customStyle="1" w:styleId="TextkomenteChar">
    <w:name w:val="Text komentáře Char"/>
    <w:basedOn w:val="Standardnpsmoodstavce"/>
    <w:link w:val="Textkomente"/>
    <w:uiPriority w:val="99"/>
    <w:rsid w:val="00351CF4"/>
    <w:rPr>
      <w:rFonts w:ascii="Calibri" w:hAnsi="Calibri"/>
      <w:sz w:val="20"/>
      <w:szCs w:val="20"/>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link w:val="Odstavecseseznamem"/>
    <w:uiPriority w:val="34"/>
    <w:qFormat/>
    <w:locked/>
    <w:rsid w:val="00351CF4"/>
  </w:style>
  <w:style w:type="character" w:customStyle="1" w:styleId="TextpoznpodarouChar1">
    <w:name w:val="Text pozn. pod čarou Char1"/>
    <w:aliases w:val="Cha Char,EEIP_Text pozn. pod čarou Char,Footnote Text Char1 Char1 Char,Footnote Text Char1 Char1 Char Char Char,Footnote Text Char1 Char1 Char Char Char Char Char Char,Footnote Text Char2 Char Char Char"/>
    <w:basedOn w:val="Standardnpsmoodstavce"/>
    <w:link w:val="Textpoznpodarou"/>
    <w:qFormat/>
    <w:rsid w:val="00CF2091"/>
    <w:rPr>
      <w:rFonts w:ascii="Garamond" w:eastAsia="Times New Roman" w:hAnsi="Garamond"/>
      <w:sz w:val="18"/>
      <w:lang w:val="en-GB" w:eastAsia="cs-CZ"/>
    </w:rPr>
  </w:style>
  <w:style w:type="paragraph" w:styleId="Textpoznpodarou">
    <w:name w:val="footnote text"/>
    <w:aliases w:val="Cha,EEIP_Text pozn. pod čarou,Footnote Text Char1 Char1,Footnote Text Char1 Char1 Char Char,Footnote Text Char1 Char1 Char Char Char Char Char,Footnote Text Char2 Char Char,Footnote Text Char2 Char Char Char Char,Footnote Text Char3"/>
    <w:basedOn w:val="Normln"/>
    <w:link w:val="TextpoznpodarouChar1"/>
    <w:uiPriority w:val="99"/>
    <w:qFormat/>
    <w:rsid w:val="00CF2091"/>
    <w:pPr>
      <w:spacing w:after="0" w:line="240" w:lineRule="auto"/>
      <w:jc w:val="both"/>
    </w:pPr>
    <w:rPr>
      <w:rFonts w:ascii="Garamond" w:eastAsia="Times New Roman" w:hAnsi="Garamond"/>
      <w:sz w:val="18"/>
      <w:lang w:val="en-GB"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uiPriority w:val="99"/>
    <w:rsid w:val="00CF2091"/>
    <w:rPr>
      <w:sz w:val="20"/>
      <w:szCs w:val="20"/>
    </w:rPr>
  </w:style>
  <w:style w:type="character" w:styleId="Znakapoznpodarou">
    <w:name w:val="footnote reference"/>
    <w:aliases w:val="Appel note de bas de p,Appel note de bas de page,BVI fnr,Char Car Car Car Car,EN Footnote Reference,Footnote Reference Number,Footnote Reference Superscript,Footnote symbol,Légende,PGI Fußnote Ziffer,SUPERS,Voetnootverwijzing,fr"/>
    <w:basedOn w:val="Standardnpsmoodstavce"/>
    <w:link w:val="SUPERSCharChar"/>
    <w:uiPriority w:val="99"/>
    <w:unhideWhenUsed/>
    <w:qFormat/>
    <w:rsid w:val="00CF2091"/>
  </w:style>
  <w:style w:type="paragraph" w:customStyle="1" w:styleId="SUPERSCharChar">
    <w:name w:val="SUPERS Char Char"/>
    <w:aliases w:val="Footnote Char Char,Footnote number Char Char,Footnote symbol Char Char,Ref Char Char,Voetnootverwijzing Char Char,de nota al pi... Char Char Char Char Char Char Char Char,de nota al pie Char Char"/>
    <w:basedOn w:val="Normln"/>
    <w:link w:val="Znakapoznpodarou"/>
    <w:uiPriority w:val="99"/>
    <w:rsid w:val="00CF2091"/>
    <w:pPr>
      <w:spacing w:line="240" w:lineRule="exact"/>
    </w:pPr>
  </w:style>
  <w:style w:type="character" w:styleId="Hypertextovodkaz">
    <w:name w:val="Hyperlink"/>
    <w:basedOn w:val="Standardnpsmoodstavce"/>
    <w:uiPriority w:val="99"/>
    <w:unhideWhenUsed/>
    <w:rsid w:val="00C7466C"/>
    <w:rPr>
      <w:color w:val="0563C1" w:themeColor="hyperlink"/>
      <w:u w:val="single"/>
    </w:rPr>
  </w:style>
  <w:style w:type="paragraph" w:customStyle="1" w:styleId="paragraph">
    <w:name w:val="paragraph"/>
    <w:basedOn w:val="Normln"/>
    <w:qFormat/>
    <w:rsid w:val="00F512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A72533"/>
    <w:pPr>
      <w:spacing w:after="160"/>
      <w:jc w:val="left"/>
    </w:pPr>
    <w:rPr>
      <w:rFonts w:asciiTheme="minorHAnsi" w:hAnsiTheme="minorHAnsi"/>
      <w:b/>
      <w:bCs/>
    </w:rPr>
  </w:style>
  <w:style w:type="character" w:customStyle="1" w:styleId="PedmtkomenteChar">
    <w:name w:val="Předmět komentáře Char"/>
    <w:basedOn w:val="TextkomenteChar"/>
    <w:link w:val="Pedmtkomente"/>
    <w:uiPriority w:val="99"/>
    <w:semiHidden/>
    <w:rsid w:val="00A72533"/>
    <w:rPr>
      <w:rFonts w:ascii="Calibri" w:hAnsi="Calibri"/>
      <w:b/>
      <w:bCs/>
      <w:sz w:val="20"/>
      <w:szCs w:val="20"/>
    </w:rPr>
  </w:style>
  <w:style w:type="character" w:styleId="Zmnka">
    <w:name w:val="Mention"/>
    <w:basedOn w:val="Standardnpsmoodstavce"/>
    <w:uiPriority w:val="99"/>
    <w:unhideWhenUsed/>
    <w:rsid w:val="00771517"/>
    <w:rPr>
      <w:color w:val="2B579A"/>
      <w:shd w:val="clear" w:color="auto" w:fill="E1DFDD"/>
    </w:rPr>
  </w:style>
  <w:style w:type="character" w:customStyle="1" w:styleId="cf01">
    <w:name w:val="cf01"/>
    <w:basedOn w:val="Standardnpsmoodstavce"/>
    <w:rsid w:val="00771517"/>
    <w:rPr>
      <w:rFonts w:ascii="Segoe UI" w:hAnsi="Segoe UI" w:cs="Segoe UI" w:hint="default"/>
      <w:sz w:val="18"/>
      <w:szCs w:val="18"/>
    </w:rPr>
  </w:style>
  <w:style w:type="table" w:styleId="Mkatabulky">
    <w:name w:val="Table Grid"/>
    <w:basedOn w:val="Normlntabulka"/>
    <w:uiPriority w:val="39"/>
    <w:rsid w:val="00A94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rsid w:val="006A4AD2"/>
    <w:rPr>
      <w:color w:val="605E5C"/>
      <w:shd w:val="clear" w:color="auto" w:fill="E1DFDD"/>
    </w:rPr>
  </w:style>
  <w:style w:type="paragraph" w:styleId="Normlnweb">
    <w:name w:val="Normal (Web)"/>
    <w:basedOn w:val="Normln"/>
    <w:uiPriority w:val="99"/>
    <w:unhideWhenUsed/>
    <w:rsid w:val="00DD2526"/>
    <w:pPr>
      <w:spacing w:before="100" w:beforeAutospacing="1" w:after="100" w:afterAutospacing="1" w:line="240" w:lineRule="auto"/>
    </w:pPr>
    <w:rPr>
      <w:rFonts w:ascii="Aptos" w:hAnsi="Aptos" w:cs="Aptos"/>
      <w:sz w:val="24"/>
      <w:szCs w:val="24"/>
      <w:lang w:eastAsia="cs-CZ"/>
    </w:rPr>
  </w:style>
  <w:style w:type="character" w:styleId="Zdraznn">
    <w:name w:val="Emphasis"/>
    <w:basedOn w:val="Standardnpsmoodstavce"/>
    <w:uiPriority w:val="20"/>
    <w:qFormat/>
    <w:rsid w:val="00C824BF"/>
    <w:rPr>
      <w:i/>
      <w:iCs/>
    </w:rPr>
  </w:style>
  <w:style w:type="character" w:styleId="Sledovanodkaz">
    <w:name w:val="FollowedHyperlink"/>
    <w:basedOn w:val="Standardnpsmoodstavce"/>
    <w:uiPriority w:val="99"/>
    <w:semiHidden/>
    <w:unhideWhenUsed/>
    <w:rsid w:val="00DD444A"/>
    <w:rPr>
      <w:color w:val="954F72" w:themeColor="followedHyperlink"/>
      <w:u w:val="single"/>
    </w:rPr>
  </w:style>
  <w:style w:type="paragraph" w:styleId="Titulek">
    <w:name w:val="caption"/>
    <w:basedOn w:val="Normln"/>
    <w:next w:val="Normln"/>
    <w:uiPriority w:val="35"/>
    <w:unhideWhenUsed/>
    <w:qFormat/>
    <w:rsid w:val="004956B7"/>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D64A65"/>
    <w:pPr>
      <w:spacing w:after="0"/>
    </w:pPr>
  </w:style>
  <w:style w:type="table" w:customStyle="1" w:styleId="Mkatabulky1">
    <w:name w:val="Mřížka tabulky1"/>
    <w:basedOn w:val="Normlntabulka"/>
    <w:next w:val="Mkatabulky"/>
    <w:uiPriority w:val="39"/>
    <w:rsid w:val="0082139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3062F2"/>
    <w:rPr>
      <w:rFonts w:ascii="Arial" w:eastAsiaTheme="majorEastAsia" w:hAnsi="Arial" w:cstheme="majorBidi"/>
      <w:b/>
      <w:color w:val="000000" w:themeColor="text1"/>
      <w:sz w:val="24"/>
      <w:szCs w:val="32"/>
    </w:rPr>
  </w:style>
  <w:style w:type="paragraph" w:styleId="Obsah1">
    <w:name w:val="toc 1"/>
    <w:basedOn w:val="Normln"/>
    <w:next w:val="Normln"/>
    <w:autoRedefine/>
    <w:uiPriority w:val="39"/>
    <w:unhideWhenUsed/>
    <w:rsid w:val="003062F2"/>
    <w:pPr>
      <w:spacing w:before="120" w:after="12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190">
      <w:bodyDiv w:val="1"/>
      <w:marLeft w:val="0"/>
      <w:marRight w:val="0"/>
      <w:marTop w:val="0"/>
      <w:marBottom w:val="0"/>
      <w:divBdr>
        <w:top w:val="none" w:sz="0" w:space="0" w:color="auto"/>
        <w:left w:val="none" w:sz="0" w:space="0" w:color="auto"/>
        <w:bottom w:val="none" w:sz="0" w:space="0" w:color="auto"/>
        <w:right w:val="none" w:sz="0" w:space="0" w:color="auto"/>
      </w:divBdr>
    </w:div>
    <w:div w:id="40447626">
      <w:bodyDiv w:val="1"/>
      <w:marLeft w:val="0"/>
      <w:marRight w:val="0"/>
      <w:marTop w:val="0"/>
      <w:marBottom w:val="0"/>
      <w:divBdr>
        <w:top w:val="none" w:sz="0" w:space="0" w:color="auto"/>
        <w:left w:val="none" w:sz="0" w:space="0" w:color="auto"/>
        <w:bottom w:val="none" w:sz="0" w:space="0" w:color="auto"/>
        <w:right w:val="none" w:sz="0" w:space="0" w:color="auto"/>
      </w:divBdr>
    </w:div>
    <w:div w:id="43337216">
      <w:bodyDiv w:val="1"/>
      <w:marLeft w:val="0"/>
      <w:marRight w:val="0"/>
      <w:marTop w:val="0"/>
      <w:marBottom w:val="0"/>
      <w:divBdr>
        <w:top w:val="none" w:sz="0" w:space="0" w:color="auto"/>
        <w:left w:val="none" w:sz="0" w:space="0" w:color="auto"/>
        <w:bottom w:val="none" w:sz="0" w:space="0" w:color="auto"/>
        <w:right w:val="none" w:sz="0" w:space="0" w:color="auto"/>
      </w:divBdr>
    </w:div>
    <w:div w:id="109276902">
      <w:bodyDiv w:val="1"/>
      <w:marLeft w:val="0"/>
      <w:marRight w:val="0"/>
      <w:marTop w:val="0"/>
      <w:marBottom w:val="0"/>
      <w:divBdr>
        <w:top w:val="none" w:sz="0" w:space="0" w:color="auto"/>
        <w:left w:val="none" w:sz="0" w:space="0" w:color="auto"/>
        <w:bottom w:val="none" w:sz="0" w:space="0" w:color="auto"/>
        <w:right w:val="none" w:sz="0" w:space="0" w:color="auto"/>
      </w:divBdr>
      <w:divsChild>
        <w:div w:id="101807586">
          <w:marLeft w:val="0"/>
          <w:marRight w:val="0"/>
          <w:marTop w:val="0"/>
          <w:marBottom w:val="0"/>
          <w:divBdr>
            <w:top w:val="none" w:sz="0" w:space="0" w:color="auto"/>
            <w:left w:val="none" w:sz="0" w:space="0" w:color="auto"/>
            <w:bottom w:val="none" w:sz="0" w:space="0" w:color="auto"/>
            <w:right w:val="none" w:sz="0" w:space="0" w:color="auto"/>
          </w:divBdr>
        </w:div>
      </w:divsChild>
    </w:div>
    <w:div w:id="115298573">
      <w:bodyDiv w:val="1"/>
      <w:marLeft w:val="0"/>
      <w:marRight w:val="0"/>
      <w:marTop w:val="0"/>
      <w:marBottom w:val="0"/>
      <w:divBdr>
        <w:top w:val="none" w:sz="0" w:space="0" w:color="auto"/>
        <w:left w:val="none" w:sz="0" w:space="0" w:color="auto"/>
        <w:bottom w:val="none" w:sz="0" w:space="0" w:color="auto"/>
        <w:right w:val="none" w:sz="0" w:space="0" w:color="auto"/>
      </w:divBdr>
    </w:div>
    <w:div w:id="185103526">
      <w:bodyDiv w:val="1"/>
      <w:marLeft w:val="0"/>
      <w:marRight w:val="0"/>
      <w:marTop w:val="0"/>
      <w:marBottom w:val="0"/>
      <w:divBdr>
        <w:top w:val="none" w:sz="0" w:space="0" w:color="auto"/>
        <w:left w:val="none" w:sz="0" w:space="0" w:color="auto"/>
        <w:bottom w:val="none" w:sz="0" w:space="0" w:color="auto"/>
        <w:right w:val="none" w:sz="0" w:space="0" w:color="auto"/>
      </w:divBdr>
    </w:div>
    <w:div w:id="197746416">
      <w:bodyDiv w:val="1"/>
      <w:marLeft w:val="0"/>
      <w:marRight w:val="0"/>
      <w:marTop w:val="0"/>
      <w:marBottom w:val="0"/>
      <w:divBdr>
        <w:top w:val="none" w:sz="0" w:space="0" w:color="auto"/>
        <w:left w:val="none" w:sz="0" w:space="0" w:color="auto"/>
        <w:bottom w:val="none" w:sz="0" w:space="0" w:color="auto"/>
        <w:right w:val="none" w:sz="0" w:space="0" w:color="auto"/>
      </w:divBdr>
      <w:divsChild>
        <w:div w:id="177433754">
          <w:marLeft w:val="0"/>
          <w:marRight w:val="0"/>
          <w:marTop w:val="0"/>
          <w:marBottom w:val="0"/>
          <w:divBdr>
            <w:top w:val="none" w:sz="0" w:space="0" w:color="auto"/>
            <w:left w:val="none" w:sz="0" w:space="0" w:color="auto"/>
            <w:bottom w:val="none" w:sz="0" w:space="0" w:color="auto"/>
            <w:right w:val="none" w:sz="0" w:space="0" w:color="auto"/>
          </w:divBdr>
          <w:divsChild>
            <w:div w:id="79451459">
              <w:marLeft w:val="0"/>
              <w:marRight w:val="0"/>
              <w:marTop w:val="0"/>
              <w:marBottom w:val="0"/>
              <w:divBdr>
                <w:top w:val="none" w:sz="0" w:space="0" w:color="auto"/>
                <w:left w:val="none" w:sz="0" w:space="0" w:color="auto"/>
                <w:bottom w:val="none" w:sz="0" w:space="0" w:color="auto"/>
                <w:right w:val="none" w:sz="0" w:space="0" w:color="auto"/>
              </w:divBdr>
            </w:div>
          </w:divsChild>
        </w:div>
        <w:div w:id="483470241">
          <w:marLeft w:val="0"/>
          <w:marRight w:val="0"/>
          <w:marTop w:val="0"/>
          <w:marBottom w:val="0"/>
          <w:divBdr>
            <w:top w:val="none" w:sz="0" w:space="0" w:color="auto"/>
            <w:left w:val="none" w:sz="0" w:space="0" w:color="auto"/>
            <w:bottom w:val="none" w:sz="0" w:space="0" w:color="auto"/>
            <w:right w:val="none" w:sz="0" w:space="0" w:color="auto"/>
          </w:divBdr>
          <w:divsChild>
            <w:div w:id="1937127298">
              <w:marLeft w:val="0"/>
              <w:marRight w:val="0"/>
              <w:marTop w:val="0"/>
              <w:marBottom w:val="0"/>
              <w:divBdr>
                <w:top w:val="none" w:sz="0" w:space="0" w:color="auto"/>
                <w:left w:val="none" w:sz="0" w:space="0" w:color="auto"/>
                <w:bottom w:val="none" w:sz="0" w:space="0" w:color="auto"/>
                <w:right w:val="none" w:sz="0" w:space="0" w:color="auto"/>
              </w:divBdr>
            </w:div>
          </w:divsChild>
        </w:div>
        <w:div w:id="492456656">
          <w:marLeft w:val="0"/>
          <w:marRight w:val="0"/>
          <w:marTop w:val="0"/>
          <w:marBottom w:val="0"/>
          <w:divBdr>
            <w:top w:val="none" w:sz="0" w:space="0" w:color="auto"/>
            <w:left w:val="none" w:sz="0" w:space="0" w:color="auto"/>
            <w:bottom w:val="none" w:sz="0" w:space="0" w:color="auto"/>
            <w:right w:val="none" w:sz="0" w:space="0" w:color="auto"/>
          </w:divBdr>
          <w:divsChild>
            <w:div w:id="1965958941">
              <w:marLeft w:val="0"/>
              <w:marRight w:val="0"/>
              <w:marTop w:val="0"/>
              <w:marBottom w:val="0"/>
              <w:divBdr>
                <w:top w:val="none" w:sz="0" w:space="0" w:color="auto"/>
                <w:left w:val="none" w:sz="0" w:space="0" w:color="auto"/>
                <w:bottom w:val="none" w:sz="0" w:space="0" w:color="auto"/>
                <w:right w:val="none" w:sz="0" w:space="0" w:color="auto"/>
              </w:divBdr>
            </w:div>
          </w:divsChild>
        </w:div>
        <w:div w:id="801534358">
          <w:marLeft w:val="0"/>
          <w:marRight w:val="0"/>
          <w:marTop w:val="0"/>
          <w:marBottom w:val="0"/>
          <w:divBdr>
            <w:top w:val="none" w:sz="0" w:space="0" w:color="auto"/>
            <w:left w:val="none" w:sz="0" w:space="0" w:color="auto"/>
            <w:bottom w:val="none" w:sz="0" w:space="0" w:color="auto"/>
            <w:right w:val="none" w:sz="0" w:space="0" w:color="auto"/>
          </w:divBdr>
          <w:divsChild>
            <w:div w:id="540480077">
              <w:marLeft w:val="0"/>
              <w:marRight w:val="0"/>
              <w:marTop w:val="0"/>
              <w:marBottom w:val="0"/>
              <w:divBdr>
                <w:top w:val="none" w:sz="0" w:space="0" w:color="auto"/>
                <w:left w:val="none" w:sz="0" w:space="0" w:color="auto"/>
                <w:bottom w:val="none" w:sz="0" w:space="0" w:color="auto"/>
                <w:right w:val="none" w:sz="0" w:space="0" w:color="auto"/>
              </w:divBdr>
            </w:div>
          </w:divsChild>
        </w:div>
        <w:div w:id="858082063">
          <w:marLeft w:val="0"/>
          <w:marRight w:val="0"/>
          <w:marTop w:val="0"/>
          <w:marBottom w:val="0"/>
          <w:divBdr>
            <w:top w:val="none" w:sz="0" w:space="0" w:color="auto"/>
            <w:left w:val="none" w:sz="0" w:space="0" w:color="auto"/>
            <w:bottom w:val="none" w:sz="0" w:space="0" w:color="auto"/>
            <w:right w:val="none" w:sz="0" w:space="0" w:color="auto"/>
          </w:divBdr>
          <w:divsChild>
            <w:div w:id="1587377525">
              <w:marLeft w:val="0"/>
              <w:marRight w:val="0"/>
              <w:marTop w:val="0"/>
              <w:marBottom w:val="0"/>
              <w:divBdr>
                <w:top w:val="none" w:sz="0" w:space="0" w:color="auto"/>
                <w:left w:val="none" w:sz="0" w:space="0" w:color="auto"/>
                <w:bottom w:val="none" w:sz="0" w:space="0" w:color="auto"/>
                <w:right w:val="none" w:sz="0" w:space="0" w:color="auto"/>
              </w:divBdr>
            </w:div>
          </w:divsChild>
        </w:div>
        <w:div w:id="947196679">
          <w:marLeft w:val="0"/>
          <w:marRight w:val="0"/>
          <w:marTop w:val="0"/>
          <w:marBottom w:val="0"/>
          <w:divBdr>
            <w:top w:val="none" w:sz="0" w:space="0" w:color="auto"/>
            <w:left w:val="none" w:sz="0" w:space="0" w:color="auto"/>
            <w:bottom w:val="none" w:sz="0" w:space="0" w:color="auto"/>
            <w:right w:val="none" w:sz="0" w:space="0" w:color="auto"/>
          </w:divBdr>
          <w:divsChild>
            <w:div w:id="1637028116">
              <w:marLeft w:val="0"/>
              <w:marRight w:val="0"/>
              <w:marTop w:val="0"/>
              <w:marBottom w:val="0"/>
              <w:divBdr>
                <w:top w:val="none" w:sz="0" w:space="0" w:color="auto"/>
                <w:left w:val="none" w:sz="0" w:space="0" w:color="auto"/>
                <w:bottom w:val="none" w:sz="0" w:space="0" w:color="auto"/>
                <w:right w:val="none" w:sz="0" w:space="0" w:color="auto"/>
              </w:divBdr>
            </w:div>
          </w:divsChild>
        </w:div>
        <w:div w:id="1345669344">
          <w:marLeft w:val="0"/>
          <w:marRight w:val="0"/>
          <w:marTop w:val="0"/>
          <w:marBottom w:val="0"/>
          <w:divBdr>
            <w:top w:val="none" w:sz="0" w:space="0" w:color="auto"/>
            <w:left w:val="none" w:sz="0" w:space="0" w:color="auto"/>
            <w:bottom w:val="none" w:sz="0" w:space="0" w:color="auto"/>
            <w:right w:val="none" w:sz="0" w:space="0" w:color="auto"/>
          </w:divBdr>
          <w:divsChild>
            <w:div w:id="791478941">
              <w:marLeft w:val="0"/>
              <w:marRight w:val="0"/>
              <w:marTop w:val="0"/>
              <w:marBottom w:val="0"/>
              <w:divBdr>
                <w:top w:val="none" w:sz="0" w:space="0" w:color="auto"/>
                <w:left w:val="none" w:sz="0" w:space="0" w:color="auto"/>
                <w:bottom w:val="none" w:sz="0" w:space="0" w:color="auto"/>
                <w:right w:val="none" w:sz="0" w:space="0" w:color="auto"/>
              </w:divBdr>
            </w:div>
          </w:divsChild>
        </w:div>
        <w:div w:id="1533423762">
          <w:marLeft w:val="0"/>
          <w:marRight w:val="0"/>
          <w:marTop w:val="0"/>
          <w:marBottom w:val="0"/>
          <w:divBdr>
            <w:top w:val="none" w:sz="0" w:space="0" w:color="auto"/>
            <w:left w:val="none" w:sz="0" w:space="0" w:color="auto"/>
            <w:bottom w:val="none" w:sz="0" w:space="0" w:color="auto"/>
            <w:right w:val="none" w:sz="0" w:space="0" w:color="auto"/>
          </w:divBdr>
          <w:divsChild>
            <w:div w:id="740177569">
              <w:marLeft w:val="0"/>
              <w:marRight w:val="0"/>
              <w:marTop w:val="0"/>
              <w:marBottom w:val="0"/>
              <w:divBdr>
                <w:top w:val="none" w:sz="0" w:space="0" w:color="auto"/>
                <w:left w:val="none" w:sz="0" w:space="0" w:color="auto"/>
                <w:bottom w:val="none" w:sz="0" w:space="0" w:color="auto"/>
                <w:right w:val="none" w:sz="0" w:space="0" w:color="auto"/>
              </w:divBdr>
            </w:div>
          </w:divsChild>
        </w:div>
        <w:div w:id="1558665754">
          <w:marLeft w:val="0"/>
          <w:marRight w:val="0"/>
          <w:marTop w:val="0"/>
          <w:marBottom w:val="0"/>
          <w:divBdr>
            <w:top w:val="none" w:sz="0" w:space="0" w:color="auto"/>
            <w:left w:val="none" w:sz="0" w:space="0" w:color="auto"/>
            <w:bottom w:val="none" w:sz="0" w:space="0" w:color="auto"/>
            <w:right w:val="none" w:sz="0" w:space="0" w:color="auto"/>
          </w:divBdr>
          <w:divsChild>
            <w:div w:id="1244484279">
              <w:marLeft w:val="0"/>
              <w:marRight w:val="0"/>
              <w:marTop w:val="0"/>
              <w:marBottom w:val="0"/>
              <w:divBdr>
                <w:top w:val="none" w:sz="0" w:space="0" w:color="auto"/>
                <w:left w:val="none" w:sz="0" w:space="0" w:color="auto"/>
                <w:bottom w:val="none" w:sz="0" w:space="0" w:color="auto"/>
                <w:right w:val="none" w:sz="0" w:space="0" w:color="auto"/>
              </w:divBdr>
            </w:div>
          </w:divsChild>
        </w:div>
        <w:div w:id="1943370699">
          <w:marLeft w:val="0"/>
          <w:marRight w:val="0"/>
          <w:marTop w:val="0"/>
          <w:marBottom w:val="0"/>
          <w:divBdr>
            <w:top w:val="none" w:sz="0" w:space="0" w:color="auto"/>
            <w:left w:val="none" w:sz="0" w:space="0" w:color="auto"/>
            <w:bottom w:val="none" w:sz="0" w:space="0" w:color="auto"/>
            <w:right w:val="none" w:sz="0" w:space="0" w:color="auto"/>
          </w:divBdr>
          <w:divsChild>
            <w:div w:id="762728513">
              <w:marLeft w:val="0"/>
              <w:marRight w:val="0"/>
              <w:marTop w:val="0"/>
              <w:marBottom w:val="0"/>
              <w:divBdr>
                <w:top w:val="none" w:sz="0" w:space="0" w:color="auto"/>
                <w:left w:val="none" w:sz="0" w:space="0" w:color="auto"/>
                <w:bottom w:val="none" w:sz="0" w:space="0" w:color="auto"/>
                <w:right w:val="none" w:sz="0" w:space="0" w:color="auto"/>
              </w:divBdr>
            </w:div>
          </w:divsChild>
        </w:div>
        <w:div w:id="1971549345">
          <w:marLeft w:val="0"/>
          <w:marRight w:val="0"/>
          <w:marTop w:val="0"/>
          <w:marBottom w:val="0"/>
          <w:divBdr>
            <w:top w:val="none" w:sz="0" w:space="0" w:color="auto"/>
            <w:left w:val="none" w:sz="0" w:space="0" w:color="auto"/>
            <w:bottom w:val="none" w:sz="0" w:space="0" w:color="auto"/>
            <w:right w:val="none" w:sz="0" w:space="0" w:color="auto"/>
          </w:divBdr>
          <w:divsChild>
            <w:div w:id="1245455182">
              <w:marLeft w:val="0"/>
              <w:marRight w:val="0"/>
              <w:marTop w:val="0"/>
              <w:marBottom w:val="0"/>
              <w:divBdr>
                <w:top w:val="none" w:sz="0" w:space="0" w:color="auto"/>
                <w:left w:val="none" w:sz="0" w:space="0" w:color="auto"/>
                <w:bottom w:val="none" w:sz="0" w:space="0" w:color="auto"/>
                <w:right w:val="none" w:sz="0" w:space="0" w:color="auto"/>
              </w:divBdr>
            </w:div>
          </w:divsChild>
        </w:div>
        <w:div w:id="2028628893">
          <w:marLeft w:val="0"/>
          <w:marRight w:val="0"/>
          <w:marTop w:val="0"/>
          <w:marBottom w:val="0"/>
          <w:divBdr>
            <w:top w:val="none" w:sz="0" w:space="0" w:color="auto"/>
            <w:left w:val="none" w:sz="0" w:space="0" w:color="auto"/>
            <w:bottom w:val="none" w:sz="0" w:space="0" w:color="auto"/>
            <w:right w:val="none" w:sz="0" w:space="0" w:color="auto"/>
          </w:divBdr>
          <w:divsChild>
            <w:div w:id="6072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767">
      <w:bodyDiv w:val="1"/>
      <w:marLeft w:val="0"/>
      <w:marRight w:val="0"/>
      <w:marTop w:val="0"/>
      <w:marBottom w:val="0"/>
      <w:divBdr>
        <w:top w:val="none" w:sz="0" w:space="0" w:color="auto"/>
        <w:left w:val="none" w:sz="0" w:space="0" w:color="auto"/>
        <w:bottom w:val="none" w:sz="0" w:space="0" w:color="auto"/>
        <w:right w:val="none" w:sz="0" w:space="0" w:color="auto"/>
      </w:divBdr>
      <w:divsChild>
        <w:div w:id="1333795819">
          <w:marLeft w:val="0"/>
          <w:marRight w:val="0"/>
          <w:marTop w:val="0"/>
          <w:marBottom w:val="0"/>
          <w:divBdr>
            <w:top w:val="none" w:sz="0" w:space="0" w:color="auto"/>
            <w:left w:val="none" w:sz="0" w:space="0" w:color="auto"/>
            <w:bottom w:val="none" w:sz="0" w:space="0" w:color="auto"/>
            <w:right w:val="none" w:sz="0" w:space="0" w:color="auto"/>
          </w:divBdr>
        </w:div>
      </w:divsChild>
    </w:div>
    <w:div w:id="256866418">
      <w:bodyDiv w:val="1"/>
      <w:marLeft w:val="0"/>
      <w:marRight w:val="0"/>
      <w:marTop w:val="0"/>
      <w:marBottom w:val="0"/>
      <w:divBdr>
        <w:top w:val="none" w:sz="0" w:space="0" w:color="auto"/>
        <w:left w:val="none" w:sz="0" w:space="0" w:color="auto"/>
        <w:bottom w:val="none" w:sz="0" w:space="0" w:color="auto"/>
        <w:right w:val="none" w:sz="0" w:space="0" w:color="auto"/>
      </w:divBdr>
      <w:divsChild>
        <w:div w:id="24143449">
          <w:marLeft w:val="0"/>
          <w:marRight w:val="0"/>
          <w:marTop w:val="0"/>
          <w:marBottom w:val="0"/>
          <w:divBdr>
            <w:top w:val="none" w:sz="0" w:space="0" w:color="auto"/>
            <w:left w:val="none" w:sz="0" w:space="0" w:color="auto"/>
            <w:bottom w:val="none" w:sz="0" w:space="0" w:color="auto"/>
            <w:right w:val="none" w:sz="0" w:space="0" w:color="auto"/>
          </w:divBdr>
        </w:div>
      </w:divsChild>
    </w:div>
    <w:div w:id="267588427">
      <w:bodyDiv w:val="1"/>
      <w:marLeft w:val="0"/>
      <w:marRight w:val="0"/>
      <w:marTop w:val="0"/>
      <w:marBottom w:val="0"/>
      <w:divBdr>
        <w:top w:val="none" w:sz="0" w:space="0" w:color="auto"/>
        <w:left w:val="none" w:sz="0" w:space="0" w:color="auto"/>
        <w:bottom w:val="none" w:sz="0" w:space="0" w:color="auto"/>
        <w:right w:val="none" w:sz="0" w:space="0" w:color="auto"/>
      </w:divBdr>
    </w:div>
    <w:div w:id="359357095">
      <w:bodyDiv w:val="1"/>
      <w:marLeft w:val="0"/>
      <w:marRight w:val="0"/>
      <w:marTop w:val="0"/>
      <w:marBottom w:val="0"/>
      <w:divBdr>
        <w:top w:val="none" w:sz="0" w:space="0" w:color="auto"/>
        <w:left w:val="none" w:sz="0" w:space="0" w:color="auto"/>
        <w:bottom w:val="none" w:sz="0" w:space="0" w:color="auto"/>
        <w:right w:val="none" w:sz="0" w:space="0" w:color="auto"/>
      </w:divBdr>
      <w:divsChild>
        <w:div w:id="1274434369">
          <w:marLeft w:val="0"/>
          <w:marRight w:val="0"/>
          <w:marTop w:val="0"/>
          <w:marBottom w:val="0"/>
          <w:divBdr>
            <w:top w:val="none" w:sz="0" w:space="0" w:color="auto"/>
            <w:left w:val="none" w:sz="0" w:space="0" w:color="auto"/>
            <w:bottom w:val="none" w:sz="0" w:space="0" w:color="auto"/>
            <w:right w:val="none" w:sz="0" w:space="0" w:color="auto"/>
          </w:divBdr>
        </w:div>
      </w:divsChild>
    </w:div>
    <w:div w:id="550725316">
      <w:bodyDiv w:val="1"/>
      <w:marLeft w:val="0"/>
      <w:marRight w:val="0"/>
      <w:marTop w:val="0"/>
      <w:marBottom w:val="0"/>
      <w:divBdr>
        <w:top w:val="none" w:sz="0" w:space="0" w:color="auto"/>
        <w:left w:val="none" w:sz="0" w:space="0" w:color="auto"/>
        <w:bottom w:val="none" w:sz="0" w:space="0" w:color="auto"/>
        <w:right w:val="none" w:sz="0" w:space="0" w:color="auto"/>
      </w:divBdr>
    </w:div>
    <w:div w:id="583882116">
      <w:bodyDiv w:val="1"/>
      <w:marLeft w:val="0"/>
      <w:marRight w:val="0"/>
      <w:marTop w:val="0"/>
      <w:marBottom w:val="0"/>
      <w:divBdr>
        <w:top w:val="none" w:sz="0" w:space="0" w:color="auto"/>
        <w:left w:val="none" w:sz="0" w:space="0" w:color="auto"/>
        <w:bottom w:val="none" w:sz="0" w:space="0" w:color="auto"/>
        <w:right w:val="none" w:sz="0" w:space="0" w:color="auto"/>
      </w:divBdr>
      <w:divsChild>
        <w:div w:id="117336608">
          <w:marLeft w:val="0"/>
          <w:marRight w:val="0"/>
          <w:marTop w:val="0"/>
          <w:marBottom w:val="0"/>
          <w:divBdr>
            <w:top w:val="none" w:sz="0" w:space="0" w:color="auto"/>
            <w:left w:val="none" w:sz="0" w:space="0" w:color="auto"/>
            <w:bottom w:val="none" w:sz="0" w:space="0" w:color="auto"/>
            <w:right w:val="none" w:sz="0" w:space="0" w:color="auto"/>
          </w:divBdr>
        </w:div>
        <w:div w:id="679507233">
          <w:marLeft w:val="0"/>
          <w:marRight w:val="0"/>
          <w:marTop w:val="0"/>
          <w:marBottom w:val="0"/>
          <w:divBdr>
            <w:top w:val="none" w:sz="0" w:space="0" w:color="auto"/>
            <w:left w:val="none" w:sz="0" w:space="0" w:color="auto"/>
            <w:bottom w:val="none" w:sz="0" w:space="0" w:color="auto"/>
            <w:right w:val="none" w:sz="0" w:space="0" w:color="auto"/>
          </w:divBdr>
        </w:div>
        <w:div w:id="680011815">
          <w:marLeft w:val="0"/>
          <w:marRight w:val="0"/>
          <w:marTop w:val="0"/>
          <w:marBottom w:val="0"/>
          <w:divBdr>
            <w:top w:val="none" w:sz="0" w:space="0" w:color="auto"/>
            <w:left w:val="none" w:sz="0" w:space="0" w:color="auto"/>
            <w:bottom w:val="none" w:sz="0" w:space="0" w:color="auto"/>
            <w:right w:val="none" w:sz="0" w:space="0" w:color="auto"/>
          </w:divBdr>
        </w:div>
        <w:div w:id="769198805">
          <w:marLeft w:val="0"/>
          <w:marRight w:val="0"/>
          <w:marTop w:val="0"/>
          <w:marBottom w:val="0"/>
          <w:divBdr>
            <w:top w:val="none" w:sz="0" w:space="0" w:color="auto"/>
            <w:left w:val="none" w:sz="0" w:space="0" w:color="auto"/>
            <w:bottom w:val="none" w:sz="0" w:space="0" w:color="auto"/>
            <w:right w:val="none" w:sz="0" w:space="0" w:color="auto"/>
          </w:divBdr>
        </w:div>
        <w:div w:id="1336762487">
          <w:marLeft w:val="0"/>
          <w:marRight w:val="0"/>
          <w:marTop w:val="0"/>
          <w:marBottom w:val="0"/>
          <w:divBdr>
            <w:top w:val="none" w:sz="0" w:space="0" w:color="auto"/>
            <w:left w:val="none" w:sz="0" w:space="0" w:color="auto"/>
            <w:bottom w:val="none" w:sz="0" w:space="0" w:color="auto"/>
            <w:right w:val="none" w:sz="0" w:space="0" w:color="auto"/>
          </w:divBdr>
        </w:div>
        <w:div w:id="1415593134">
          <w:marLeft w:val="0"/>
          <w:marRight w:val="0"/>
          <w:marTop w:val="0"/>
          <w:marBottom w:val="0"/>
          <w:divBdr>
            <w:top w:val="none" w:sz="0" w:space="0" w:color="auto"/>
            <w:left w:val="none" w:sz="0" w:space="0" w:color="auto"/>
            <w:bottom w:val="none" w:sz="0" w:space="0" w:color="auto"/>
            <w:right w:val="none" w:sz="0" w:space="0" w:color="auto"/>
          </w:divBdr>
        </w:div>
        <w:div w:id="1606958569">
          <w:marLeft w:val="0"/>
          <w:marRight w:val="0"/>
          <w:marTop w:val="0"/>
          <w:marBottom w:val="0"/>
          <w:divBdr>
            <w:top w:val="none" w:sz="0" w:space="0" w:color="auto"/>
            <w:left w:val="none" w:sz="0" w:space="0" w:color="auto"/>
            <w:bottom w:val="none" w:sz="0" w:space="0" w:color="auto"/>
            <w:right w:val="none" w:sz="0" w:space="0" w:color="auto"/>
          </w:divBdr>
        </w:div>
        <w:div w:id="1648053160">
          <w:marLeft w:val="0"/>
          <w:marRight w:val="0"/>
          <w:marTop w:val="0"/>
          <w:marBottom w:val="0"/>
          <w:divBdr>
            <w:top w:val="none" w:sz="0" w:space="0" w:color="auto"/>
            <w:left w:val="none" w:sz="0" w:space="0" w:color="auto"/>
            <w:bottom w:val="none" w:sz="0" w:space="0" w:color="auto"/>
            <w:right w:val="none" w:sz="0" w:space="0" w:color="auto"/>
          </w:divBdr>
        </w:div>
        <w:div w:id="1891184209">
          <w:marLeft w:val="0"/>
          <w:marRight w:val="0"/>
          <w:marTop w:val="0"/>
          <w:marBottom w:val="0"/>
          <w:divBdr>
            <w:top w:val="none" w:sz="0" w:space="0" w:color="auto"/>
            <w:left w:val="none" w:sz="0" w:space="0" w:color="auto"/>
            <w:bottom w:val="none" w:sz="0" w:space="0" w:color="auto"/>
            <w:right w:val="none" w:sz="0" w:space="0" w:color="auto"/>
          </w:divBdr>
        </w:div>
        <w:div w:id="1910846303">
          <w:marLeft w:val="0"/>
          <w:marRight w:val="0"/>
          <w:marTop w:val="0"/>
          <w:marBottom w:val="0"/>
          <w:divBdr>
            <w:top w:val="none" w:sz="0" w:space="0" w:color="auto"/>
            <w:left w:val="none" w:sz="0" w:space="0" w:color="auto"/>
            <w:bottom w:val="none" w:sz="0" w:space="0" w:color="auto"/>
            <w:right w:val="none" w:sz="0" w:space="0" w:color="auto"/>
          </w:divBdr>
        </w:div>
        <w:div w:id="1938752583">
          <w:marLeft w:val="0"/>
          <w:marRight w:val="0"/>
          <w:marTop w:val="0"/>
          <w:marBottom w:val="0"/>
          <w:divBdr>
            <w:top w:val="none" w:sz="0" w:space="0" w:color="auto"/>
            <w:left w:val="none" w:sz="0" w:space="0" w:color="auto"/>
            <w:bottom w:val="none" w:sz="0" w:space="0" w:color="auto"/>
            <w:right w:val="none" w:sz="0" w:space="0" w:color="auto"/>
          </w:divBdr>
        </w:div>
      </w:divsChild>
    </w:div>
    <w:div w:id="623541768">
      <w:bodyDiv w:val="1"/>
      <w:marLeft w:val="0"/>
      <w:marRight w:val="0"/>
      <w:marTop w:val="0"/>
      <w:marBottom w:val="0"/>
      <w:divBdr>
        <w:top w:val="none" w:sz="0" w:space="0" w:color="auto"/>
        <w:left w:val="none" w:sz="0" w:space="0" w:color="auto"/>
        <w:bottom w:val="none" w:sz="0" w:space="0" w:color="auto"/>
        <w:right w:val="none" w:sz="0" w:space="0" w:color="auto"/>
      </w:divBdr>
    </w:div>
    <w:div w:id="723989119">
      <w:bodyDiv w:val="1"/>
      <w:marLeft w:val="0"/>
      <w:marRight w:val="0"/>
      <w:marTop w:val="0"/>
      <w:marBottom w:val="0"/>
      <w:divBdr>
        <w:top w:val="none" w:sz="0" w:space="0" w:color="auto"/>
        <w:left w:val="none" w:sz="0" w:space="0" w:color="auto"/>
        <w:bottom w:val="none" w:sz="0" w:space="0" w:color="auto"/>
        <w:right w:val="none" w:sz="0" w:space="0" w:color="auto"/>
      </w:divBdr>
    </w:div>
    <w:div w:id="826172677">
      <w:bodyDiv w:val="1"/>
      <w:marLeft w:val="0"/>
      <w:marRight w:val="0"/>
      <w:marTop w:val="0"/>
      <w:marBottom w:val="0"/>
      <w:divBdr>
        <w:top w:val="none" w:sz="0" w:space="0" w:color="auto"/>
        <w:left w:val="none" w:sz="0" w:space="0" w:color="auto"/>
        <w:bottom w:val="none" w:sz="0" w:space="0" w:color="auto"/>
        <w:right w:val="none" w:sz="0" w:space="0" w:color="auto"/>
      </w:divBdr>
    </w:div>
    <w:div w:id="899290175">
      <w:bodyDiv w:val="1"/>
      <w:marLeft w:val="0"/>
      <w:marRight w:val="0"/>
      <w:marTop w:val="0"/>
      <w:marBottom w:val="0"/>
      <w:divBdr>
        <w:top w:val="none" w:sz="0" w:space="0" w:color="auto"/>
        <w:left w:val="none" w:sz="0" w:space="0" w:color="auto"/>
        <w:bottom w:val="none" w:sz="0" w:space="0" w:color="auto"/>
        <w:right w:val="none" w:sz="0" w:space="0" w:color="auto"/>
      </w:divBdr>
    </w:div>
    <w:div w:id="1007902761">
      <w:bodyDiv w:val="1"/>
      <w:marLeft w:val="0"/>
      <w:marRight w:val="0"/>
      <w:marTop w:val="0"/>
      <w:marBottom w:val="0"/>
      <w:divBdr>
        <w:top w:val="none" w:sz="0" w:space="0" w:color="auto"/>
        <w:left w:val="none" w:sz="0" w:space="0" w:color="auto"/>
        <w:bottom w:val="none" w:sz="0" w:space="0" w:color="auto"/>
        <w:right w:val="none" w:sz="0" w:space="0" w:color="auto"/>
      </w:divBdr>
      <w:divsChild>
        <w:div w:id="716783825">
          <w:marLeft w:val="0"/>
          <w:marRight w:val="0"/>
          <w:marTop w:val="0"/>
          <w:marBottom w:val="0"/>
          <w:divBdr>
            <w:top w:val="none" w:sz="0" w:space="0" w:color="auto"/>
            <w:left w:val="none" w:sz="0" w:space="0" w:color="auto"/>
            <w:bottom w:val="none" w:sz="0" w:space="0" w:color="auto"/>
            <w:right w:val="none" w:sz="0" w:space="0" w:color="auto"/>
          </w:divBdr>
          <w:divsChild>
            <w:div w:id="338118483">
              <w:marLeft w:val="0"/>
              <w:marRight w:val="0"/>
              <w:marTop w:val="0"/>
              <w:marBottom w:val="0"/>
              <w:divBdr>
                <w:top w:val="none" w:sz="0" w:space="0" w:color="auto"/>
                <w:left w:val="none" w:sz="0" w:space="0" w:color="auto"/>
                <w:bottom w:val="none" w:sz="0" w:space="0" w:color="auto"/>
                <w:right w:val="none" w:sz="0" w:space="0" w:color="auto"/>
              </w:divBdr>
            </w:div>
            <w:div w:id="473377118">
              <w:marLeft w:val="0"/>
              <w:marRight w:val="0"/>
              <w:marTop w:val="0"/>
              <w:marBottom w:val="0"/>
              <w:divBdr>
                <w:top w:val="none" w:sz="0" w:space="0" w:color="auto"/>
                <w:left w:val="none" w:sz="0" w:space="0" w:color="auto"/>
                <w:bottom w:val="none" w:sz="0" w:space="0" w:color="auto"/>
                <w:right w:val="none" w:sz="0" w:space="0" w:color="auto"/>
              </w:divBdr>
            </w:div>
            <w:div w:id="640040261">
              <w:marLeft w:val="0"/>
              <w:marRight w:val="0"/>
              <w:marTop w:val="0"/>
              <w:marBottom w:val="0"/>
              <w:divBdr>
                <w:top w:val="none" w:sz="0" w:space="0" w:color="auto"/>
                <w:left w:val="none" w:sz="0" w:space="0" w:color="auto"/>
                <w:bottom w:val="none" w:sz="0" w:space="0" w:color="auto"/>
                <w:right w:val="none" w:sz="0" w:space="0" w:color="auto"/>
              </w:divBdr>
            </w:div>
            <w:div w:id="1023290072">
              <w:marLeft w:val="0"/>
              <w:marRight w:val="0"/>
              <w:marTop w:val="0"/>
              <w:marBottom w:val="0"/>
              <w:divBdr>
                <w:top w:val="none" w:sz="0" w:space="0" w:color="auto"/>
                <w:left w:val="none" w:sz="0" w:space="0" w:color="auto"/>
                <w:bottom w:val="none" w:sz="0" w:space="0" w:color="auto"/>
                <w:right w:val="none" w:sz="0" w:space="0" w:color="auto"/>
              </w:divBdr>
            </w:div>
            <w:div w:id="1093821283">
              <w:marLeft w:val="0"/>
              <w:marRight w:val="0"/>
              <w:marTop w:val="0"/>
              <w:marBottom w:val="0"/>
              <w:divBdr>
                <w:top w:val="none" w:sz="0" w:space="0" w:color="auto"/>
                <w:left w:val="none" w:sz="0" w:space="0" w:color="auto"/>
                <w:bottom w:val="none" w:sz="0" w:space="0" w:color="auto"/>
                <w:right w:val="none" w:sz="0" w:space="0" w:color="auto"/>
              </w:divBdr>
            </w:div>
            <w:div w:id="1127702883">
              <w:marLeft w:val="0"/>
              <w:marRight w:val="0"/>
              <w:marTop w:val="0"/>
              <w:marBottom w:val="0"/>
              <w:divBdr>
                <w:top w:val="none" w:sz="0" w:space="0" w:color="auto"/>
                <w:left w:val="none" w:sz="0" w:space="0" w:color="auto"/>
                <w:bottom w:val="none" w:sz="0" w:space="0" w:color="auto"/>
                <w:right w:val="none" w:sz="0" w:space="0" w:color="auto"/>
              </w:divBdr>
            </w:div>
            <w:div w:id="1234003314">
              <w:marLeft w:val="0"/>
              <w:marRight w:val="0"/>
              <w:marTop w:val="0"/>
              <w:marBottom w:val="0"/>
              <w:divBdr>
                <w:top w:val="none" w:sz="0" w:space="0" w:color="auto"/>
                <w:left w:val="none" w:sz="0" w:space="0" w:color="auto"/>
                <w:bottom w:val="none" w:sz="0" w:space="0" w:color="auto"/>
                <w:right w:val="none" w:sz="0" w:space="0" w:color="auto"/>
              </w:divBdr>
            </w:div>
            <w:div w:id="1639846890">
              <w:marLeft w:val="0"/>
              <w:marRight w:val="0"/>
              <w:marTop w:val="0"/>
              <w:marBottom w:val="0"/>
              <w:divBdr>
                <w:top w:val="none" w:sz="0" w:space="0" w:color="auto"/>
                <w:left w:val="none" w:sz="0" w:space="0" w:color="auto"/>
                <w:bottom w:val="none" w:sz="0" w:space="0" w:color="auto"/>
                <w:right w:val="none" w:sz="0" w:space="0" w:color="auto"/>
              </w:divBdr>
            </w:div>
            <w:div w:id="1931356552">
              <w:marLeft w:val="0"/>
              <w:marRight w:val="0"/>
              <w:marTop w:val="0"/>
              <w:marBottom w:val="0"/>
              <w:divBdr>
                <w:top w:val="none" w:sz="0" w:space="0" w:color="auto"/>
                <w:left w:val="none" w:sz="0" w:space="0" w:color="auto"/>
                <w:bottom w:val="none" w:sz="0" w:space="0" w:color="auto"/>
                <w:right w:val="none" w:sz="0" w:space="0" w:color="auto"/>
              </w:divBdr>
            </w:div>
            <w:div w:id="2139227494">
              <w:marLeft w:val="0"/>
              <w:marRight w:val="0"/>
              <w:marTop w:val="0"/>
              <w:marBottom w:val="0"/>
              <w:divBdr>
                <w:top w:val="none" w:sz="0" w:space="0" w:color="auto"/>
                <w:left w:val="none" w:sz="0" w:space="0" w:color="auto"/>
                <w:bottom w:val="none" w:sz="0" w:space="0" w:color="auto"/>
                <w:right w:val="none" w:sz="0" w:space="0" w:color="auto"/>
              </w:divBdr>
            </w:div>
          </w:divsChild>
        </w:div>
        <w:div w:id="792092164">
          <w:marLeft w:val="0"/>
          <w:marRight w:val="0"/>
          <w:marTop w:val="0"/>
          <w:marBottom w:val="0"/>
          <w:divBdr>
            <w:top w:val="none" w:sz="0" w:space="0" w:color="auto"/>
            <w:left w:val="none" w:sz="0" w:space="0" w:color="auto"/>
            <w:bottom w:val="none" w:sz="0" w:space="0" w:color="auto"/>
            <w:right w:val="none" w:sz="0" w:space="0" w:color="auto"/>
          </w:divBdr>
          <w:divsChild>
            <w:div w:id="32655918">
              <w:marLeft w:val="0"/>
              <w:marRight w:val="0"/>
              <w:marTop w:val="0"/>
              <w:marBottom w:val="0"/>
              <w:divBdr>
                <w:top w:val="none" w:sz="0" w:space="0" w:color="auto"/>
                <w:left w:val="none" w:sz="0" w:space="0" w:color="auto"/>
                <w:bottom w:val="none" w:sz="0" w:space="0" w:color="auto"/>
                <w:right w:val="none" w:sz="0" w:space="0" w:color="auto"/>
              </w:divBdr>
            </w:div>
            <w:div w:id="259603039">
              <w:marLeft w:val="0"/>
              <w:marRight w:val="0"/>
              <w:marTop w:val="0"/>
              <w:marBottom w:val="0"/>
              <w:divBdr>
                <w:top w:val="none" w:sz="0" w:space="0" w:color="auto"/>
                <w:left w:val="none" w:sz="0" w:space="0" w:color="auto"/>
                <w:bottom w:val="none" w:sz="0" w:space="0" w:color="auto"/>
                <w:right w:val="none" w:sz="0" w:space="0" w:color="auto"/>
              </w:divBdr>
            </w:div>
            <w:div w:id="299114435">
              <w:marLeft w:val="0"/>
              <w:marRight w:val="0"/>
              <w:marTop w:val="0"/>
              <w:marBottom w:val="0"/>
              <w:divBdr>
                <w:top w:val="none" w:sz="0" w:space="0" w:color="auto"/>
                <w:left w:val="none" w:sz="0" w:space="0" w:color="auto"/>
                <w:bottom w:val="none" w:sz="0" w:space="0" w:color="auto"/>
                <w:right w:val="none" w:sz="0" w:space="0" w:color="auto"/>
              </w:divBdr>
            </w:div>
            <w:div w:id="308562177">
              <w:marLeft w:val="0"/>
              <w:marRight w:val="0"/>
              <w:marTop w:val="0"/>
              <w:marBottom w:val="0"/>
              <w:divBdr>
                <w:top w:val="none" w:sz="0" w:space="0" w:color="auto"/>
                <w:left w:val="none" w:sz="0" w:space="0" w:color="auto"/>
                <w:bottom w:val="none" w:sz="0" w:space="0" w:color="auto"/>
                <w:right w:val="none" w:sz="0" w:space="0" w:color="auto"/>
              </w:divBdr>
            </w:div>
            <w:div w:id="334309427">
              <w:marLeft w:val="0"/>
              <w:marRight w:val="0"/>
              <w:marTop w:val="0"/>
              <w:marBottom w:val="0"/>
              <w:divBdr>
                <w:top w:val="none" w:sz="0" w:space="0" w:color="auto"/>
                <w:left w:val="none" w:sz="0" w:space="0" w:color="auto"/>
                <w:bottom w:val="none" w:sz="0" w:space="0" w:color="auto"/>
                <w:right w:val="none" w:sz="0" w:space="0" w:color="auto"/>
              </w:divBdr>
            </w:div>
            <w:div w:id="376780267">
              <w:marLeft w:val="0"/>
              <w:marRight w:val="0"/>
              <w:marTop w:val="0"/>
              <w:marBottom w:val="0"/>
              <w:divBdr>
                <w:top w:val="none" w:sz="0" w:space="0" w:color="auto"/>
                <w:left w:val="none" w:sz="0" w:space="0" w:color="auto"/>
                <w:bottom w:val="none" w:sz="0" w:space="0" w:color="auto"/>
                <w:right w:val="none" w:sz="0" w:space="0" w:color="auto"/>
              </w:divBdr>
            </w:div>
            <w:div w:id="474227913">
              <w:marLeft w:val="0"/>
              <w:marRight w:val="0"/>
              <w:marTop w:val="0"/>
              <w:marBottom w:val="0"/>
              <w:divBdr>
                <w:top w:val="none" w:sz="0" w:space="0" w:color="auto"/>
                <w:left w:val="none" w:sz="0" w:space="0" w:color="auto"/>
                <w:bottom w:val="none" w:sz="0" w:space="0" w:color="auto"/>
                <w:right w:val="none" w:sz="0" w:space="0" w:color="auto"/>
              </w:divBdr>
            </w:div>
            <w:div w:id="878128478">
              <w:marLeft w:val="0"/>
              <w:marRight w:val="0"/>
              <w:marTop w:val="0"/>
              <w:marBottom w:val="0"/>
              <w:divBdr>
                <w:top w:val="none" w:sz="0" w:space="0" w:color="auto"/>
                <w:left w:val="none" w:sz="0" w:space="0" w:color="auto"/>
                <w:bottom w:val="none" w:sz="0" w:space="0" w:color="auto"/>
                <w:right w:val="none" w:sz="0" w:space="0" w:color="auto"/>
              </w:divBdr>
            </w:div>
            <w:div w:id="1105076030">
              <w:marLeft w:val="0"/>
              <w:marRight w:val="0"/>
              <w:marTop w:val="0"/>
              <w:marBottom w:val="0"/>
              <w:divBdr>
                <w:top w:val="none" w:sz="0" w:space="0" w:color="auto"/>
                <w:left w:val="none" w:sz="0" w:space="0" w:color="auto"/>
                <w:bottom w:val="none" w:sz="0" w:space="0" w:color="auto"/>
                <w:right w:val="none" w:sz="0" w:space="0" w:color="auto"/>
              </w:divBdr>
            </w:div>
            <w:div w:id="1283153419">
              <w:marLeft w:val="0"/>
              <w:marRight w:val="0"/>
              <w:marTop w:val="0"/>
              <w:marBottom w:val="0"/>
              <w:divBdr>
                <w:top w:val="none" w:sz="0" w:space="0" w:color="auto"/>
                <w:left w:val="none" w:sz="0" w:space="0" w:color="auto"/>
                <w:bottom w:val="none" w:sz="0" w:space="0" w:color="auto"/>
                <w:right w:val="none" w:sz="0" w:space="0" w:color="auto"/>
              </w:divBdr>
            </w:div>
            <w:div w:id="1366901651">
              <w:marLeft w:val="0"/>
              <w:marRight w:val="0"/>
              <w:marTop w:val="0"/>
              <w:marBottom w:val="0"/>
              <w:divBdr>
                <w:top w:val="none" w:sz="0" w:space="0" w:color="auto"/>
                <w:left w:val="none" w:sz="0" w:space="0" w:color="auto"/>
                <w:bottom w:val="none" w:sz="0" w:space="0" w:color="auto"/>
                <w:right w:val="none" w:sz="0" w:space="0" w:color="auto"/>
              </w:divBdr>
            </w:div>
            <w:div w:id="1367368700">
              <w:marLeft w:val="0"/>
              <w:marRight w:val="0"/>
              <w:marTop w:val="0"/>
              <w:marBottom w:val="0"/>
              <w:divBdr>
                <w:top w:val="none" w:sz="0" w:space="0" w:color="auto"/>
                <w:left w:val="none" w:sz="0" w:space="0" w:color="auto"/>
                <w:bottom w:val="none" w:sz="0" w:space="0" w:color="auto"/>
                <w:right w:val="none" w:sz="0" w:space="0" w:color="auto"/>
              </w:divBdr>
            </w:div>
            <w:div w:id="1458838191">
              <w:marLeft w:val="0"/>
              <w:marRight w:val="0"/>
              <w:marTop w:val="0"/>
              <w:marBottom w:val="0"/>
              <w:divBdr>
                <w:top w:val="none" w:sz="0" w:space="0" w:color="auto"/>
                <w:left w:val="none" w:sz="0" w:space="0" w:color="auto"/>
                <w:bottom w:val="none" w:sz="0" w:space="0" w:color="auto"/>
                <w:right w:val="none" w:sz="0" w:space="0" w:color="auto"/>
              </w:divBdr>
            </w:div>
            <w:div w:id="1523665418">
              <w:marLeft w:val="0"/>
              <w:marRight w:val="0"/>
              <w:marTop w:val="0"/>
              <w:marBottom w:val="0"/>
              <w:divBdr>
                <w:top w:val="none" w:sz="0" w:space="0" w:color="auto"/>
                <w:left w:val="none" w:sz="0" w:space="0" w:color="auto"/>
                <w:bottom w:val="none" w:sz="0" w:space="0" w:color="auto"/>
                <w:right w:val="none" w:sz="0" w:space="0" w:color="auto"/>
              </w:divBdr>
            </w:div>
            <w:div w:id="1636980466">
              <w:marLeft w:val="0"/>
              <w:marRight w:val="0"/>
              <w:marTop w:val="0"/>
              <w:marBottom w:val="0"/>
              <w:divBdr>
                <w:top w:val="none" w:sz="0" w:space="0" w:color="auto"/>
                <w:left w:val="none" w:sz="0" w:space="0" w:color="auto"/>
                <w:bottom w:val="none" w:sz="0" w:space="0" w:color="auto"/>
                <w:right w:val="none" w:sz="0" w:space="0" w:color="auto"/>
              </w:divBdr>
            </w:div>
            <w:div w:id="1668360347">
              <w:marLeft w:val="0"/>
              <w:marRight w:val="0"/>
              <w:marTop w:val="0"/>
              <w:marBottom w:val="0"/>
              <w:divBdr>
                <w:top w:val="none" w:sz="0" w:space="0" w:color="auto"/>
                <w:left w:val="none" w:sz="0" w:space="0" w:color="auto"/>
                <w:bottom w:val="none" w:sz="0" w:space="0" w:color="auto"/>
                <w:right w:val="none" w:sz="0" w:space="0" w:color="auto"/>
              </w:divBdr>
            </w:div>
            <w:div w:id="2042630701">
              <w:marLeft w:val="0"/>
              <w:marRight w:val="0"/>
              <w:marTop w:val="0"/>
              <w:marBottom w:val="0"/>
              <w:divBdr>
                <w:top w:val="none" w:sz="0" w:space="0" w:color="auto"/>
                <w:left w:val="none" w:sz="0" w:space="0" w:color="auto"/>
                <w:bottom w:val="none" w:sz="0" w:space="0" w:color="auto"/>
                <w:right w:val="none" w:sz="0" w:space="0" w:color="auto"/>
              </w:divBdr>
            </w:div>
            <w:div w:id="2125146561">
              <w:marLeft w:val="0"/>
              <w:marRight w:val="0"/>
              <w:marTop w:val="0"/>
              <w:marBottom w:val="0"/>
              <w:divBdr>
                <w:top w:val="none" w:sz="0" w:space="0" w:color="auto"/>
                <w:left w:val="none" w:sz="0" w:space="0" w:color="auto"/>
                <w:bottom w:val="none" w:sz="0" w:space="0" w:color="auto"/>
                <w:right w:val="none" w:sz="0" w:space="0" w:color="auto"/>
              </w:divBdr>
            </w:div>
            <w:div w:id="2128620334">
              <w:marLeft w:val="0"/>
              <w:marRight w:val="0"/>
              <w:marTop w:val="0"/>
              <w:marBottom w:val="0"/>
              <w:divBdr>
                <w:top w:val="none" w:sz="0" w:space="0" w:color="auto"/>
                <w:left w:val="none" w:sz="0" w:space="0" w:color="auto"/>
                <w:bottom w:val="none" w:sz="0" w:space="0" w:color="auto"/>
                <w:right w:val="none" w:sz="0" w:space="0" w:color="auto"/>
              </w:divBdr>
            </w:div>
            <w:div w:id="21295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3283">
      <w:bodyDiv w:val="1"/>
      <w:marLeft w:val="0"/>
      <w:marRight w:val="0"/>
      <w:marTop w:val="0"/>
      <w:marBottom w:val="0"/>
      <w:divBdr>
        <w:top w:val="none" w:sz="0" w:space="0" w:color="auto"/>
        <w:left w:val="none" w:sz="0" w:space="0" w:color="auto"/>
        <w:bottom w:val="none" w:sz="0" w:space="0" w:color="auto"/>
        <w:right w:val="none" w:sz="0" w:space="0" w:color="auto"/>
      </w:divBdr>
    </w:div>
    <w:div w:id="1245258771">
      <w:bodyDiv w:val="1"/>
      <w:marLeft w:val="0"/>
      <w:marRight w:val="0"/>
      <w:marTop w:val="0"/>
      <w:marBottom w:val="0"/>
      <w:divBdr>
        <w:top w:val="none" w:sz="0" w:space="0" w:color="auto"/>
        <w:left w:val="none" w:sz="0" w:space="0" w:color="auto"/>
        <w:bottom w:val="none" w:sz="0" w:space="0" w:color="auto"/>
        <w:right w:val="none" w:sz="0" w:space="0" w:color="auto"/>
      </w:divBdr>
      <w:divsChild>
        <w:div w:id="600144599">
          <w:marLeft w:val="1267"/>
          <w:marRight w:val="0"/>
          <w:marTop w:val="0"/>
          <w:marBottom w:val="160"/>
          <w:divBdr>
            <w:top w:val="none" w:sz="0" w:space="0" w:color="auto"/>
            <w:left w:val="none" w:sz="0" w:space="0" w:color="auto"/>
            <w:bottom w:val="none" w:sz="0" w:space="0" w:color="auto"/>
            <w:right w:val="none" w:sz="0" w:space="0" w:color="auto"/>
          </w:divBdr>
        </w:div>
        <w:div w:id="749540397">
          <w:marLeft w:val="1267"/>
          <w:marRight w:val="0"/>
          <w:marTop w:val="0"/>
          <w:marBottom w:val="160"/>
          <w:divBdr>
            <w:top w:val="none" w:sz="0" w:space="0" w:color="auto"/>
            <w:left w:val="none" w:sz="0" w:space="0" w:color="auto"/>
            <w:bottom w:val="none" w:sz="0" w:space="0" w:color="auto"/>
            <w:right w:val="none" w:sz="0" w:space="0" w:color="auto"/>
          </w:divBdr>
        </w:div>
        <w:div w:id="1661033203">
          <w:marLeft w:val="1267"/>
          <w:marRight w:val="0"/>
          <w:marTop w:val="0"/>
          <w:marBottom w:val="160"/>
          <w:divBdr>
            <w:top w:val="none" w:sz="0" w:space="0" w:color="auto"/>
            <w:left w:val="none" w:sz="0" w:space="0" w:color="auto"/>
            <w:bottom w:val="none" w:sz="0" w:space="0" w:color="auto"/>
            <w:right w:val="none" w:sz="0" w:space="0" w:color="auto"/>
          </w:divBdr>
        </w:div>
        <w:div w:id="2144733906">
          <w:marLeft w:val="1267"/>
          <w:marRight w:val="0"/>
          <w:marTop w:val="0"/>
          <w:marBottom w:val="160"/>
          <w:divBdr>
            <w:top w:val="none" w:sz="0" w:space="0" w:color="auto"/>
            <w:left w:val="none" w:sz="0" w:space="0" w:color="auto"/>
            <w:bottom w:val="none" w:sz="0" w:space="0" w:color="auto"/>
            <w:right w:val="none" w:sz="0" w:space="0" w:color="auto"/>
          </w:divBdr>
        </w:div>
      </w:divsChild>
    </w:div>
    <w:div w:id="1281187404">
      <w:bodyDiv w:val="1"/>
      <w:marLeft w:val="0"/>
      <w:marRight w:val="0"/>
      <w:marTop w:val="0"/>
      <w:marBottom w:val="0"/>
      <w:divBdr>
        <w:top w:val="none" w:sz="0" w:space="0" w:color="auto"/>
        <w:left w:val="none" w:sz="0" w:space="0" w:color="auto"/>
        <w:bottom w:val="none" w:sz="0" w:space="0" w:color="auto"/>
        <w:right w:val="none" w:sz="0" w:space="0" w:color="auto"/>
      </w:divBdr>
      <w:divsChild>
        <w:div w:id="6107283">
          <w:marLeft w:val="0"/>
          <w:marRight w:val="0"/>
          <w:marTop w:val="0"/>
          <w:marBottom w:val="0"/>
          <w:divBdr>
            <w:top w:val="none" w:sz="0" w:space="0" w:color="auto"/>
            <w:left w:val="none" w:sz="0" w:space="0" w:color="auto"/>
            <w:bottom w:val="none" w:sz="0" w:space="0" w:color="auto"/>
            <w:right w:val="none" w:sz="0" w:space="0" w:color="auto"/>
          </w:divBdr>
          <w:divsChild>
            <w:div w:id="1455752562">
              <w:marLeft w:val="0"/>
              <w:marRight w:val="0"/>
              <w:marTop w:val="0"/>
              <w:marBottom w:val="0"/>
              <w:divBdr>
                <w:top w:val="none" w:sz="0" w:space="0" w:color="auto"/>
                <w:left w:val="none" w:sz="0" w:space="0" w:color="auto"/>
                <w:bottom w:val="none" w:sz="0" w:space="0" w:color="auto"/>
                <w:right w:val="none" w:sz="0" w:space="0" w:color="auto"/>
              </w:divBdr>
            </w:div>
          </w:divsChild>
        </w:div>
        <w:div w:id="240799402">
          <w:marLeft w:val="0"/>
          <w:marRight w:val="0"/>
          <w:marTop w:val="0"/>
          <w:marBottom w:val="0"/>
          <w:divBdr>
            <w:top w:val="none" w:sz="0" w:space="0" w:color="auto"/>
            <w:left w:val="none" w:sz="0" w:space="0" w:color="auto"/>
            <w:bottom w:val="none" w:sz="0" w:space="0" w:color="auto"/>
            <w:right w:val="none" w:sz="0" w:space="0" w:color="auto"/>
          </w:divBdr>
          <w:divsChild>
            <w:div w:id="1614706510">
              <w:marLeft w:val="0"/>
              <w:marRight w:val="0"/>
              <w:marTop w:val="0"/>
              <w:marBottom w:val="0"/>
              <w:divBdr>
                <w:top w:val="none" w:sz="0" w:space="0" w:color="auto"/>
                <w:left w:val="none" w:sz="0" w:space="0" w:color="auto"/>
                <w:bottom w:val="none" w:sz="0" w:space="0" w:color="auto"/>
                <w:right w:val="none" w:sz="0" w:space="0" w:color="auto"/>
              </w:divBdr>
            </w:div>
          </w:divsChild>
        </w:div>
        <w:div w:id="332799537">
          <w:marLeft w:val="0"/>
          <w:marRight w:val="0"/>
          <w:marTop w:val="0"/>
          <w:marBottom w:val="0"/>
          <w:divBdr>
            <w:top w:val="none" w:sz="0" w:space="0" w:color="auto"/>
            <w:left w:val="none" w:sz="0" w:space="0" w:color="auto"/>
            <w:bottom w:val="none" w:sz="0" w:space="0" w:color="auto"/>
            <w:right w:val="none" w:sz="0" w:space="0" w:color="auto"/>
          </w:divBdr>
          <w:divsChild>
            <w:div w:id="2135175318">
              <w:marLeft w:val="0"/>
              <w:marRight w:val="0"/>
              <w:marTop w:val="0"/>
              <w:marBottom w:val="0"/>
              <w:divBdr>
                <w:top w:val="none" w:sz="0" w:space="0" w:color="auto"/>
                <w:left w:val="none" w:sz="0" w:space="0" w:color="auto"/>
                <w:bottom w:val="none" w:sz="0" w:space="0" w:color="auto"/>
                <w:right w:val="none" w:sz="0" w:space="0" w:color="auto"/>
              </w:divBdr>
            </w:div>
          </w:divsChild>
        </w:div>
        <w:div w:id="712854067">
          <w:marLeft w:val="0"/>
          <w:marRight w:val="0"/>
          <w:marTop w:val="0"/>
          <w:marBottom w:val="0"/>
          <w:divBdr>
            <w:top w:val="none" w:sz="0" w:space="0" w:color="auto"/>
            <w:left w:val="none" w:sz="0" w:space="0" w:color="auto"/>
            <w:bottom w:val="none" w:sz="0" w:space="0" w:color="auto"/>
            <w:right w:val="none" w:sz="0" w:space="0" w:color="auto"/>
          </w:divBdr>
          <w:divsChild>
            <w:div w:id="174881785">
              <w:marLeft w:val="0"/>
              <w:marRight w:val="0"/>
              <w:marTop w:val="0"/>
              <w:marBottom w:val="0"/>
              <w:divBdr>
                <w:top w:val="none" w:sz="0" w:space="0" w:color="auto"/>
                <w:left w:val="none" w:sz="0" w:space="0" w:color="auto"/>
                <w:bottom w:val="none" w:sz="0" w:space="0" w:color="auto"/>
                <w:right w:val="none" w:sz="0" w:space="0" w:color="auto"/>
              </w:divBdr>
            </w:div>
          </w:divsChild>
        </w:div>
        <w:div w:id="794908053">
          <w:marLeft w:val="0"/>
          <w:marRight w:val="0"/>
          <w:marTop w:val="0"/>
          <w:marBottom w:val="0"/>
          <w:divBdr>
            <w:top w:val="none" w:sz="0" w:space="0" w:color="auto"/>
            <w:left w:val="none" w:sz="0" w:space="0" w:color="auto"/>
            <w:bottom w:val="none" w:sz="0" w:space="0" w:color="auto"/>
            <w:right w:val="none" w:sz="0" w:space="0" w:color="auto"/>
          </w:divBdr>
          <w:divsChild>
            <w:div w:id="459491998">
              <w:marLeft w:val="0"/>
              <w:marRight w:val="0"/>
              <w:marTop w:val="0"/>
              <w:marBottom w:val="0"/>
              <w:divBdr>
                <w:top w:val="none" w:sz="0" w:space="0" w:color="auto"/>
                <w:left w:val="none" w:sz="0" w:space="0" w:color="auto"/>
                <w:bottom w:val="none" w:sz="0" w:space="0" w:color="auto"/>
                <w:right w:val="none" w:sz="0" w:space="0" w:color="auto"/>
              </w:divBdr>
            </w:div>
          </w:divsChild>
        </w:div>
        <w:div w:id="843595701">
          <w:marLeft w:val="0"/>
          <w:marRight w:val="0"/>
          <w:marTop w:val="0"/>
          <w:marBottom w:val="0"/>
          <w:divBdr>
            <w:top w:val="none" w:sz="0" w:space="0" w:color="auto"/>
            <w:left w:val="none" w:sz="0" w:space="0" w:color="auto"/>
            <w:bottom w:val="none" w:sz="0" w:space="0" w:color="auto"/>
            <w:right w:val="none" w:sz="0" w:space="0" w:color="auto"/>
          </w:divBdr>
          <w:divsChild>
            <w:div w:id="533620444">
              <w:marLeft w:val="0"/>
              <w:marRight w:val="0"/>
              <w:marTop w:val="0"/>
              <w:marBottom w:val="0"/>
              <w:divBdr>
                <w:top w:val="none" w:sz="0" w:space="0" w:color="auto"/>
                <w:left w:val="none" w:sz="0" w:space="0" w:color="auto"/>
                <w:bottom w:val="none" w:sz="0" w:space="0" w:color="auto"/>
                <w:right w:val="none" w:sz="0" w:space="0" w:color="auto"/>
              </w:divBdr>
            </w:div>
          </w:divsChild>
        </w:div>
        <w:div w:id="885487738">
          <w:marLeft w:val="0"/>
          <w:marRight w:val="0"/>
          <w:marTop w:val="0"/>
          <w:marBottom w:val="0"/>
          <w:divBdr>
            <w:top w:val="none" w:sz="0" w:space="0" w:color="auto"/>
            <w:left w:val="none" w:sz="0" w:space="0" w:color="auto"/>
            <w:bottom w:val="none" w:sz="0" w:space="0" w:color="auto"/>
            <w:right w:val="none" w:sz="0" w:space="0" w:color="auto"/>
          </w:divBdr>
          <w:divsChild>
            <w:div w:id="1847865445">
              <w:marLeft w:val="0"/>
              <w:marRight w:val="0"/>
              <w:marTop w:val="0"/>
              <w:marBottom w:val="0"/>
              <w:divBdr>
                <w:top w:val="none" w:sz="0" w:space="0" w:color="auto"/>
                <w:left w:val="none" w:sz="0" w:space="0" w:color="auto"/>
                <w:bottom w:val="none" w:sz="0" w:space="0" w:color="auto"/>
                <w:right w:val="none" w:sz="0" w:space="0" w:color="auto"/>
              </w:divBdr>
            </w:div>
          </w:divsChild>
        </w:div>
        <w:div w:id="1481190813">
          <w:marLeft w:val="0"/>
          <w:marRight w:val="0"/>
          <w:marTop w:val="0"/>
          <w:marBottom w:val="0"/>
          <w:divBdr>
            <w:top w:val="none" w:sz="0" w:space="0" w:color="auto"/>
            <w:left w:val="none" w:sz="0" w:space="0" w:color="auto"/>
            <w:bottom w:val="none" w:sz="0" w:space="0" w:color="auto"/>
            <w:right w:val="none" w:sz="0" w:space="0" w:color="auto"/>
          </w:divBdr>
          <w:divsChild>
            <w:div w:id="1797286098">
              <w:marLeft w:val="0"/>
              <w:marRight w:val="0"/>
              <w:marTop w:val="0"/>
              <w:marBottom w:val="0"/>
              <w:divBdr>
                <w:top w:val="none" w:sz="0" w:space="0" w:color="auto"/>
                <w:left w:val="none" w:sz="0" w:space="0" w:color="auto"/>
                <w:bottom w:val="none" w:sz="0" w:space="0" w:color="auto"/>
                <w:right w:val="none" w:sz="0" w:space="0" w:color="auto"/>
              </w:divBdr>
            </w:div>
          </w:divsChild>
        </w:div>
        <w:div w:id="1948149663">
          <w:marLeft w:val="0"/>
          <w:marRight w:val="0"/>
          <w:marTop w:val="0"/>
          <w:marBottom w:val="0"/>
          <w:divBdr>
            <w:top w:val="none" w:sz="0" w:space="0" w:color="auto"/>
            <w:left w:val="none" w:sz="0" w:space="0" w:color="auto"/>
            <w:bottom w:val="none" w:sz="0" w:space="0" w:color="auto"/>
            <w:right w:val="none" w:sz="0" w:space="0" w:color="auto"/>
          </w:divBdr>
          <w:divsChild>
            <w:div w:id="322927618">
              <w:marLeft w:val="0"/>
              <w:marRight w:val="0"/>
              <w:marTop w:val="0"/>
              <w:marBottom w:val="0"/>
              <w:divBdr>
                <w:top w:val="none" w:sz="0" w:space="0" w:color="auto"/>
                <w:left w:val="none" w:sz="0" w:space="0" w:color="auto"/>
                <w:bottom w:val="none" w:sz="0" w:space="0" w:color="auto"/>
                <w:right w:val="none" w:sz="0" w:space="0" w:color="auto"/>
              </w:divBdr>
            </w:div>
          </w:divsChild>
        </w:div>
        <w:div w:id="2008249125">
          <w:marLeft w:val="0"/>
          <w:marRight w:val="0"/>
          <w:marTop w:val="0"/>
          <w:marBottom w:val="0"/>
          <w:divBdr>
            <w:top w:val="none" w:sz="0" w:space="0" w:color="auto"/>
            <w:left w:val="none" w:sz="0" w:space="0" w:color="auto"/>
            <w:bottom w:val="none" w:sz="0" w:space="0" w:color="auto"/>
            <w:right w:val="none" w:sz="0" w:space="0" w:color="auto"/>
          </w:divBdr>
          <w:divsChild>
            <w:div w:id="770664582">
              <w:marLeft w:val="0"/>
              <w:marRight w:val="0"/>
              <w:marTop w:val="0"/>
              <w:marBottom w:val="0"/>
              <w:divBdr>
                <w:top w:val="none" w:sz="0" w:space="0" w:color="auto"/>
                <w:left w:val="none" w:sz="0" w:space="0" w:color="auto"/>
                <w:bottom w:val="none" w:sz="0" w:space="0" w:color="auto"/>
                <w:right w:val="none" w:sz="0" w:space="0" w:color="auto"/>
              </w:divBdr>
            </w:div>
          </w:divsChild>
        </w:div>
        <w:div w:id="2100560142">
          <w:marLeft w:val="0"/>
          <w:marRight w:val="0"/>
          <w:marTop w:val="0"/>
          <w:marBottom w:val="0"/>
          <w:divBdr>
            <w:top w:val="none" w:sz="0" w:space="0" w:color="auto"/>
            <w:left w:val="none" w:sz="0" w:space="0" w:color="auto"/>
            <w:bottom w:val="none" w:sz="0" w:space="0" w:color="auto"/>
            <w:right w:val="none" w:sz="0" w:space="0" w:color="auto"/>
          </w:divBdr>
          <w:divsChild>
            <w:div w:id="1315719877">
              <w:marLeft w:val="0"/>
              <w:marRight w:val="0"/>
              <w:marTop w:val="0"/>
              <w:marBottom w:val="0"/>
              <w:divBdr>
                <w:top w:val="none" w:sz="0" w:space="0" w:color="auto"/>
                <w:left w:val="none" w:sz="0" w:space="0" w:color="auto"/>
                <w:bottom w:val="none" w:sz="0" w:space="0" w:color="auto"/>
                <w:right w:val="none" w:sz="0" w:space="0" w:color="auto"/>
              </w:divBdr>
            </w:div>
          </w:divsChild>
        </w:div>
        <w:div w:id="2124153541">
          <w:marLeft w:val="0"/>
          <w:marRight w:val="0"/>
          <w:marTop w:val="0"/>
          <w:marBottom w:val="0"/>
          <w:divBdr>
            <w:top w:val="none" w:sz="0" w:space="0" w:color="auto"/>
            <w:left w:val="none" w:sz="0" w:space="0" w:color="auto"/>
            <w:bottom w:val="none" w:sz="0" w:space="0" w:color="auto"/>
            <w:right w:val="none" w:sz="0" w:space="0" w:color="auto"/>
          </w:divBdr>
          <w:divsChild>
            <w:div w:id="16004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41002">
      <w:bodyDiv w:val="1"/>
      <w:marLeft w:val="0"/>
      <w:marRight w:val="0"/>
      <w:marTop w:val="0"/>
      <w:marBottom w:val="0"/>
      <w:divBdr>
        <w:top w:val="none" w:sz="0" w:space="0" w:color="auto"/>
        <w:left w:val="none" w:sz="0" w:space="0" w:color="auto"/>
        <w:bottom w:val="none" w:sz="0" w:space="0" w:color="auto"/>
        <w:right w:val="none" w:sz="0" w:space="0" w:color="auto"/>
      </w:divBdr>
    </w:div>
    <w:div w:id="1328635747">
      <w:bodyDiv w:val="1"/>
      <w:marLeft w:val="0"/>
      <w:marRight w:val="0"/>
      <w:marTop w:val="0"/>
      <w:marBottom w:val="0"/>
      <w:divBdr>
        <w:top w:val="none" w:sz="0" w:space="0" w:color="auto"/>
        <w:left w:val="none" w:sz="0" w:space="0" w:color="auto"/>
        <w:bottom w:val="none" w:sz="0" w:space="0" w:color="auto"/>
        <w:right w:val="none" w:sz="0" w:space="0" w:color="auto"/>
      </w:divBdr>
    </w:div>
    <w:div w:id="1387683186">
      <w:bodyDiv w:val="1"/>
      <w:marLeft w:val="0"/>
      <w:marRight w:val="0"/>
      <w:marTop w:val="0"/>
      <w:marBottom w:val="0"/>
      <w:divBdr>
        <w:top w:val="none" w:sz="0" w:space="0" w:color="auto"/>
        <w:left w:val="none" w:sz="0" w:space="0" w:color="auto"/>
        <w:bottom w:val="none" w:sz="0" w:space="0" w:color="auto"/>
        <w:right w:val="none" w:sz="0" w:space="0" w:color="auto"/>
      </w:divBdr>
    </w:div>
    <w:div w:id="1401513492">
      <w:bodyDiv w:val="1"/>
      <w:marLeft w:val="0"/>
      <w:marRight w:val="0"/>
      <w:marTop w:val="0"/>
      <w:marBottom w:val="0"/>
      <w:divBdr>
        <w:top w:val="none" w:sz="0" w:space="0" w:color="auto"/>
        <w:left w:val="none" w:sz="0" w:space="0" w:color="auto"/>
        <w:bottom w:val="none" w:sz="0" w:space="0" w:color="auto"/>
        <w:right w:val="none" w:sz="0" w:space="0" w:color="auto"/>
      </w:divBdr>
    </w:div>
    <w:div w:id="1585646257">
      <w:bodyDiv w:val="1"/>
      <w:marLeft w:val="0"/>
      <w:marRight w:val="0"/>
      <w:marTop w:val="0"/>
      <w:marBottom w:val="0"/>
      <w:divBdr>
        <w:top w:val="none" w:sz="0" w:space="0" w:color="auto"/>
        <w:left w:val="none" w:sz="0" w:space="0" w:color="auto"/>
        <w:bottom w:val="none" w:sz="0" w:space="0" w:color="auto"/>
        <w:right w:val="none" w:sz="0" w:space="0" w:color="auto"/>
      </w:divBdr>
    </w:div>
    <w:div w:id="1629967796">
      <w:bodyDiv w:val="1"/>
      <w:marLeft w:val="0"/>
      <w:marRight w:val="0"/>
      <w:marTop w:val="0"/>
      <w:marBottom w:val="0"/>
      <w:divBdr>
        <w:top w:val="none" w:sz="0" w:space="0" w:color="auto"/>
        <w:left w:val="none" w:sz="0" w:space="0" w:color="auto"/>
        <w:bottom w:val="none" w:sz="0" w:space="0" w:color="auto"/>
        <w:right w:val="none" w:sz="0" w:space="0" w:color="auto"/>
      </w:divBdr>
    </w:div>
    <w:div w:id="1641184518">
      <w:bodyDiv w:val="1"/>
      <w:marLeft w:val="0"/>
      <w:marRight w:val="0"/>
      <w:marTop w:val="0"/>
      <w:marBottom w:val="0"/>
      <w:divBdr>
        <w:top w:val="none" w:sz="0" w:space="0" w:color="auto"/>
        <w:left w:val="none" w:sz="0" w:space="0" w:color="auto"/>
        <w:bottom w:val="none" w:sz="0" w:space="0" w:color="auto"/>
        <w:right w:val="none" w:sz="0" w:space="0" w:color="auto"/>
      </w:divBdr>
    </w:div>
    <w:div w:id="1662807898">
      <w:bodyDiv w:val="1"/>
      <w:marLeft w:val="0"/>
      <w:marRight w:val="0"/>
      <w:marTop w:val="0"/>
      <w:marBottom w:val="0"/>
      <w:divBdr>
        <w:top w:val="none" w:sz="0" w:space="0" w:color="auto"/>
        <w:left w:val="none" w:sz="0" w:space="0" w:color="auto"/>
        <w:bottom w:val="none" w:sz="0" w:space="0" w:color="auto"/>
        <w:right w:val="none" w:sz="0" w:space="0" w:color="auto"/>
      </w:divBdr>
      <w:divsChild>
        <w:div w:id="598024057">
          <w:marLeft w:val="0"/>
          <w:marRight w:val="0"/>
          <w:marTop w:val="0"/>
          <w:marBottom w:val="0"/>
          <w:divBdr>
            <w:top w:val="none" w:sz="0" w:space="0" w:color="auto"/>
            <w:left w:val="none" w:sz="0" w:space="0" w:color="auto"/>
            <w:bottom w:val="none" w:sz="0" w:space="0" w:color="auto"/>
            <w:right w:val="none" w:sz="0" w:space="0" w:color="auto"/>
          </w:divBdr>
        </w:div>
      </w:divsChild>
    </w:div>
    <w:div w:id="1692799187">
      <w:bodyDiv w:val="1"/>
      <w:marLeft w:val="0"/>
      <w:marRight w:val="0"/>
      <w:marTop w:val="0"/>
      <w:marBottom w:val="0"/>
      <w:divBdr>
        <w:top w:val="none" w:sz="0" w:space="0" w:color="auto"/>
        <w:left w:val="none" w:sz="0" w:space="0" w:color="auto"/>
        <w:bottom w:val="none" w:sz="0" w:space="0" w:color="auto"/>
        <w:right w:val="none" w:sz="0" w:space="0" w:color="auto"/>
      </w:divBdr>
    </w:div>
    <w:div w:id="1764104416">
      <w:bodyDiv w:val="1"/>
      <w:marLeft w:val="0"/>
      <w:marRight w:val="0"/>
      <w:marTop w:val="0"/>
      <w:marBottom w:val="0"/>
      <w:divBdr>
        <w:top w:val="none" w:sz="0" w:space="0" w:color="auto"/>
        <w:left w:val="none" w:sz="0" w:space="0" w:color="auto"/>
        <w:bottom w:val="none" w:sz="0" w:space="0" w:color="auto"/>
        <w:right w:val="none" w:sz="0" w:space="0" w:color="auto"/>
      </w:divBdr>
    </w:div>
    <w:div w:id="1851068578">
      <w:bodyDiv w:val="1"/>
      <w:marLeft w:val="0"/>
      <w:marRight w:val="0"/>
      <w:marTop w:val="0"/>
      <w:marBottom w:val="0"/>
      <w:divBdr>
        <w:top w:val="none" w:sz="0" w:space="0" w:color="auto"/>
        <w:left w:val="none" w:sz="0" w:space="0" w:color="auto"/>
        <w:bottom w:val="none" w:sz="0" w:space="0" w:color="auto"/>
        <w:right w:val="none" w:sz="0" w:space="0" w:color="auto"/>
      </w:divBdr>
    </w:div>
    <w:div w:id="1891837581">
      <w:bodyDiv w:val="1"/>
      <w:marLeft w:val="0"/>
      <w:marRight w:val="0"/>
      <w:marTop w:val="0"/>
      <w:marBottom w:val="0"/>
      <w:divBdr>
        <w:top w:val="none" w:sz="0" w:space="0" w:color="auto"/>
        <w:left w:val="none" w:sz="0" w:space="0" w:color="auto"/>
        <w:bottom w:val="none" w:sz="0" w:space="0" w:color="auto"/>
        <w:right w:val="none" w:sz="0" w:space="0" w:color="auto"/>
      </w:divBdr>
      <w:divsChild>
        <w:div w:id="877470071">
          <w:marLeft w:val="0"/>
          <w:marRight w:val="0"/>
          <w:marTop w:val="0"/>
          <w:marBottom w:val="0"/>
          <w:divBdr>
            <w:top w:val="none" w:sz="0" w:space="0" w:color="auto"/>
            <w:left w:val="none" w:sz="0" w:space="0" w:color="auto"/>
            <w:bottom w:val="none" w:sz="0" w:space="0" w:color="auto"/>
            <w:right w:val="none" w:sz="0" w:space="0" w:color="auto"/>
          </w:divBdr>
        </w:div>
        <w:div w:id="1883667306">
          <w:marLeft w:val="0"/>
          <w:marRight w:val="0"/>
          <w:marTop w:val="0"/>
          <w:marBottom w:val="0"/>
          <w:divBdr>
            <w:top w:val="none" w:sz="0" w:space="0" w:color="auto"/>
            <w:left w:val="none" w:sz="0" w:space="0" w:color="auto"/>
            <w:bottom w:val="none" w:sz="0" w:space="0" w:color="auto"/>
            <w:right w:val="none" w:sz="0" w:space="0" w:color="auto"/>
          </w:divBdr>
        </w:div>
      </w:divsChild>
    </w:div>
    <w:div w:id="1928035568">
      <w:bodyDiv w:val="1"/>
      <w:marLeft w:val="0"/>
      <w:marRight w:val="0"/>
      <w:marTop w:val="0"/>
      <w:marBottom w:val="0"/>
      <w:divBdr>
        <w:top w:val="none" w:sz="0" w:space="0" w:color="auto"/>
        <w:left w:val="none" w:sz="0" w:space="0" w:color="auto"/>
        <w:bottom w:val="none" w:sz="0" w:space="0" w:color="auto"/>
        <w:right w:val="none" w:sz="0" w:space="0" w:color="auto"/>
      </w:divBdr>
    </w:div>
    <w:div w:id="1989092883">
      <w:bodyDiv w:val="1"/>
      <w:marLeft w:val="0"/>
      <w:marRight w:val="0"/>
      <w:marTop w:val="0"/>
      <w:marBottom w:val="0"/>
      <w:divBdr>
        <w:top w:val="none" w:sz="0" w:space="0" w:color="auto"/>
        <w:left w:val="none" w:sz="0" w:space="0" w:color="auto"/>
        <w:bottom w:val="none" w:sz="0" w:space="0" w:color="auto"/>
        <w:right w:val="none" w:sz="0" w:space="0" w:color="auto"/>
      </w:divBdr>
    </w:div>
    <w:div w:id="2020962072">
      <w:bodyDiv w:val="1"/>
      <w:marLeft w:val="0"/>
      <w:marRight w:val="0"/>
      <w:marTop w:val="0"/>
      <w:marBottom w:val="0"/>
      <w:divBdr>
        <w:top w:val="none" w:sz="0" w:space="0" w:color="auto"/>
        <w:left w:val="none" w:sz="0" w:space="0" w:color="auto"/>
        <w:bottom w:val="none" w:sz="0" w:space="0" w:color="auto"/>
        <w:right w:val="none" w:sz="0" w:space="0" w:color="auto"/>
      </w:divBdr>
      <w:divsChild>
        <w:div w:id="917208116">
          <w:marLeft w:val="0"/>
          <w:marRight w:val="0"/>
          <w:marTop w:val="0"/>
          <w:marBottom w:val="0"/>
          <w:divBdr>
            <w:top w:val="none" w:sz="0" w:space="0" w:color="auto"/>
            <w:left w:val="none" w:sz="0" w:space="0" w:color="auto"/>
            <w:bottom w:val="none" w:sz="0" w:space="0" w:color="auto"/>
            <w:right w:val="none" w:sz="0" w:space="0" w:color="auto"/>
          </w:divBdr>
          <w:divsChild>
            <w:div w:id="170679185">
              <w:marLeft w:val="0"/>
              <w:marRight w:val="0"/>
              <w:marTop w:val="0"/>
              <w:marBottom w:val="0"/>
              <w:divBdr>
                <w:top w:val="none" w:sz="0" w:space="0" w:color="auto"/>
                <w:left w:val="none" w:sz="0" w:space="0" w:color="auto"/>
                <w:bottom w:val="none" w:sz="0" w:space="0" w:color="auto"/>
                <w:right w:val="none" w:sz="0" w:space="0" w:color="auto"/>
              </w:divBdr>
            </w:div>
            <w:div w:id="335496941">
              <w:marLeft w:val="0"/>
              <w:marRight w:val="0"/>
              <w:marTop w:val="0"/>
              <w:marBottom w:val="0"/>
              <w:divBdr>
                <w:top w:val="none" w:sz="0" w:space="0" w:color="auto"/>
                <w:left w:val="none" w:sz="0" w:space="0" w:color="auto"/>
                <w:bottom w:val="none" w:sz="0" w:space="0" w:color="auto"/>
                <w:right w:val="none" w:sz="0" w:space="0" w:color="auto"/>
              </w:divBdr>
            </w:div>
            <w:div w:id="523711642">
              <w:marLeft w:val="0"/>
              <w:marRight w:val="0"/>
              <w:marTop w:val="0"/>
              <w:marBottom w:val="0"/>
              <w:divBdr>
                <w:top w:val="none" w:sz="0" w:space="0" w:color="auto"/>
                <w:left w:val="none" w:sz="0" w:space="0" w:color="auto"/>
                <w:bottom w:val="none" w:sz="0" w:space="0" w:color="auto"/>
                <w:right w:val="none" w:sz="0" w:space="0" w:color="auto"/>
              </w:divBdr>
            </w:div>
            <w:div w:id="680620895">
              <w:marLeft w:val="0"/>
              <w:marRight w:val="0"/>
              <w:marTop w:val="0"/>
              <w:marBottom w:val="0"/>
              <w:divBdr>
                <w:top w:val="none" w:sz="0" w:space="0" w:color="auto"/>
                <w:left w:val="none" w:sz="0" w:space="0" w:color="auto"/>
                <w:bottom w:val="none" w:sz="0" w:space="0" w:color="auto"/>
                <w:right w:val="none" w:sz="0" w:space="0" w:color="auto"/>
              </w:divBdr>
            </w:div>
            <w:div w:id="886648582">
              <w:marLeft w:val="0"/>
              <w:marRight w:val="0"/>
              <w:marTop w:val="0"/>
              <w:marBottom w:val="0"/>
              <w:divBdr>
                <w:top w:val="none" w:sz="0" w:space="0" w:color="auto"/>
                <w:left w:val="none" w:sz="0" w:space="0" w:color="auto"/>
                <w:bottom w:val="none" w:sz="0" w:space="0" w:color="auto"/>
                <w:right w:val="none" w:sz="0" w:space="0" w:color="auto"/>
              </w:divBdr>
            </w:div>
            <w:div w:id="1112164939">
              <w:marLeft w:val="0"/>
              <w:marRight w:val="0"/>
              <w:marTop w:val="0"/>
              <w:marBottom w:val="0"/>
              <w:divBdr>
                <w:top w:val="none" w:sz="0" w:space="0" w:color="auto"/>
                <w:left w:val="none" w:sz="0" w:space="0" w:color="auto"/>
                <w:bottom w:val="none" w:sz="0" w:space="0" w:color="auto"/>
                <w:right w:val="none" w:sz="0" w:space="0" w:color="auto"/>
              </w:divBdr>
            </w:div>
            <w:div w:id="1284270068">
              <w:marLeft w:val="0"/>
              <w:marRight w:val="0"/>
              <w:marTop w:val="0"/>
              <w:marBottom w:val="0"/>
              <w:divBdr>
                <w:top w:val="none" w:sz="0" w:space="0" w:color="auto"/>
                <w:left w:val="none" w:sz="0" w:space="0" w:color="auto"/>
                <w:bottom w:val="none" w:sz="0" w:space="0" w:color="auto"/>
                <w:right w:val="none" w:sz="0" w:space="0" w:color="auto"/>
              </w:divBdr>
            </w:div>
            <w:div w:id="1333069103">
              <w:marLeft w:val="0"/>
              <w:marRight w:val="0"/>
              <w:marTop w:val="0"/>
              <w:marBottom w:val="0"/>
              <w:divBdr>
                <w:top w:val="none" w:sz="0" w:space="0" w:color="auto"/>
                <w:left w:val="none" w:sz="0" w:space="0" w:color="auto"/>
                <w:bottom w:val="none" w:sz="0" w:space="0" w:color="auto"/>
                <w:right w:val="none" w:sz="0" w:space="0" w:color="auto"/>
              </w:divBdr>
            </w:div>
            <w:div w:id="1645355077">
              <w:marLeft w:val="0"/>
              <w:marRight w:val="0"/>
              <w:marTop w:val="0"/>
              <w:marBottom w:val="0"/>
              <w:divBdr>
                <w:top w:val="none" w:sz="0" w:space="0" w:color="auto"/>
                <w:left w:val="none" w:sz="0" w:space="0" w:color="auto"/>
                <w:bottom w:val="none" w:sz="0" w:space="0" w:color="auto"/>
                <w:right w:val="none" w:sz="0" w:space="0" w:color="auto"/>
              </w:divBdr>
            </w:div>
            <w:div w:id="2120175542">
              <w:marLeft w:val="0"/>
              <w:marRight w:val="0"/>
              <w:marTop w:val="0"/>
              <w:marBottom w:val="0"/>
              <w:divBdr>
                <w:top w:val="none" w:sz="0" w:space="0" w:color="auto"/>
                <w:left w:val="none" w:sz="0" w:space="0" w:color="auto"/>
                <w:bottom w:val="none" w:sz="0" w:space="0" w:color="auto"/>
                <w:right w:val="none" w:sz="0" w:space="0" w:color="auto"/>
              </w:divBdr>
            </w:div>
          </w:divsChild>
        </w:div>
        <w:div w:id="2027173239">
          <w:marLeft w:val="0"/>
          <w:marRight w:val="0"/>
          <w:marTop w:val="0"/>
          <w:marBottom w:val="0"/>
          <w:divBdr>
            <w:top w:val="none" w:sz="0" w:space="0" w:color="auto"/>
            <w:left w:val="none" w:sz="0" w:space="0" w:color="auto"/>
            <w:bottom w:val="none" w:sz="0" w:space="0" w:color="auto"/>
            <w:right w:val="none" w:sz="0" w:space="0" w:color="auto"/>
          </w:divBdr>
          <w:divsChild>
            <w:div w:id="207110297">
              <w:marLeft w:val="0"/>
              <w:marRight w:val="0"/>
              <w:marTop w:val="0"/>
              <w:marBottom w:val="0"/>
              <w:divBdr>
                <w:top w:val="none" w:sz="0" w:space="0" w:color="auto"/>
                <w:left w:val="none" w:sz="0" w:space="0" w:color="auto"/>
                <w:bottom w:val="none" w:sz="0" w:space="0" w:color="auto"/>
                <w:right w:val="none" w:sz="0" w:space="0" w:color="auto"/>
              </w:divBdr>
            </w:div>
            <w:div w:id="295457444">
              <w:marLeft w:val="0"/>
              <w:marRight w:val="0"/>
              <w:marTop w:val="0"/>
              <w:marBottom w:val="0"/>
              <w:divBdr>
                <w:top w:val="none" w:sz="0" w:space="0" w:color="auto"/>
                <w:left w:val="none" w:sz="0" w:space="0" w:color="auto"/>
                <w:bottom w:val="none" w:sz="0" w:space="0" w:color="auto"/>
                <w:right w:val="none" w:sz="0" w:space="0" w:color="auto"/>
              </w:divBdr>
            </w:div>
            <w:div w:id="321157531">
              <w:marLeft w:val="0"/>
              <w:marRight w:val="0"/>
              <w:marTop w:val="0"/>
              <w:marBottom w:val="0"/>
              <w:divBdr>
                <w:top w:val="none" w:sz="0" w:space="0" w:color="auto"/>
                <w:left w:val="none" w:sz="0" w:space="0" w:color="auto"/>
                <w:bottom w:val="none" w:sz="0" w:space="0" w:color="auto"/>
                <w:right w:val="none" w:sz="0" w:space="0" w:color="auto"/>
              </w:divBdr>
            </w:div>
            <w:div w:id="411439351">
              <w:marLeft w:val="0"/>
              <w:marRight w:val="0"/>
              <w:marTop w:val="0"/>
              <w:marBottom w:val="0"/>
              <w:divBdr>
                <w:top w:val="none" w:sz="0" w:space="0" w:color="auto"/>
                <w:left w:val="none" w:sz="0" w:space="0" w:color="auto"/>
                <w:bottom w:val="none" w:sz="0" w:space="0" w:color="auto"/>
                <w:right w:val="none" w:sz="0" w:space="0" w:color="auto"/>
              </w:divBdr>
            </w:div>
            <w:div w:id="505174526">
              <w:marLeft w:val="0"/>
              <w:marRight w:val="0"/>
              <w:marTop w:val="0"/>
              <w:marBottom w:val="0"/>
              <w:divBdr>
                <w:top w:val="none" w:sz="0" w:space="0" w:color="auto"/>
                <w:left w:val="none" w:sz="0" w:space="0" w:color="auto"/>
                <w:bottom w:val="none" w:sz="0" w:space="0" w:color="auto"/>
                <w:right w:val="none" w:sz="0" w:space="0" w:color="auto"/>
              </w:divBdr>
            </w:div>
            <w:div w:id="641010472">
              <w:marLeft w:val="0"/>
              <w:marRight w:val="0"/>
              <w:marTop w:val="0"/>
              <w:marBottom w:val="0"/>
              <w:divBdr>
                <w:top w:val="none" w:sz="0" w:space="0" w:color="auto"/>
                <w:left w:val="none" w:sz="0" w:space="0" w:color="auto"/>
                <w:bottom w:val="none" w:sz="0" w:space="0" w:color="auto"/>
                <w:right w:val="none" w:sz="0" w:space="0" w:color="auto"/>
              </w:divBdr>
            </w:div>
            <w:div w:id="692464266">
              <w:marLeft w:val="0"/>
              <w:marRight w:val="0"/>
              <w:marTop w:val="0"/>
              <w:marBottom w:val="0"/>
              <w:divBdr>
                <w:top w:val="none" w:sz="0" w:space="0" w:color="auto"/>
                <w:left w:val="none" w:sz="0" w:space="0" w:color="auto"/>
                <w:bottom w:val="none" w:sz="0" w:space="0" w:color="auto"/>
                <w:right w:val="none" w:sz="0" w:space="0" w:color="auto"/>
              </w:divBdr>
            </w:div>
            <w:div w:id="733235703">
              <w:marLeft w:val="0"/>
              <w:marRight w:val="0"/>
              <w:marTop w:val="0"/>
              <w:marBottom w:val="0"/>
              <w:divBdr>
                <w:top w:val="none" w:sz="0" w:space="0" w:color="auto"/>
                <w:left w:val="none" w:sz="0" w:space="0" w:color="auto"/>
                <w:bottom w:val="none" w:sz="0" w:space="0" w:color="auto"/>
                <w:right w:val="none" w:sz="0" w:space="0" w:color="auto"/>
              </w:divBdr>
            </w:div>
            <w:div w:id="763064586">
              <w:marLeft w:val="0"/>
              <w:marRight w:val="0"/>
              <w:marTop w:val="0"/>
              <w:marBottom w:val="0"/>
              <w:divBdr>
                <w:top w:val="none" w:sz="0" w:space="0" w:color="auto"/>
                <w:left w:val="none" w:sz="0" w:space="0" w:color="auto"/>
                <w:bottom w:val="none" w:sz="0" w:space="0" w:color="auto"/>
                <w:right w:val="none" w:sz="0" w:space="0" w:color="auto"/>
              </w:divBdr>
            </w:div>
            <w:div w:id="1089622545">
              <w:marLeft w:val="0"/>
              <w:marRight w:val="0"/>
              <w:marTop w:val="0"/>
              <w:marBottom w:val="0"/>
              <w:divBdr>
                <w:top w:val="none" w:sz="0" w:space="0" w:color="auto"/>
                <w:left w:val="none" w:sz="0" w:space="0" w:color="auto"/>
                <w:bottom w:val="none" w:sz="0" w:space="0" w:color="auto"/>
                <w:right w:val="none" w:sz="0" w:space="0" w:color="auto"/>
              </w:divBdr>
            </w:div>
            <w:div w:id="1097794516">
              <w:marLeft w:val="0"/>
              <w:marRight w:val="0"/>
              <w:marTop w:val="0"/>
              <w:marBottom w:val="0"/>
              <w:divBdr>
                <w:top w:val="none" w:sz="0" w:space="0" w:color="auto"/>
                <w:left w:val="none" w:sz="0" w:space="0" w:color="auto"/>
                <w:bottom w:val="none" w:sz="0" w:space="0" w:color="auto"/>
                <w:right w:val="none" w:sz="0" w:space="0" w:color="auto"/>
              </w:divBdr>
            </w:div>
            <w:div w:id="1184592826">
              <w:marLeft w:val="0"/>
              <w:marRight w:val="0"/>
              <w:marTop w:val="0"/>
              <w:marBottom w:val="0"/>
              <w:divBdr>
                <w:top w:val="none" w:sz="0" w:space="0" w:color="auto"/>
                <w:left w:val="none" w:sz="0" w:space="0" w:color="auto"/>
                <w:bottom w:val="none" w:sz="0" w:space="0" w:color="auto"/>
                <w:right w:val="none" w:sz="0" w:space="0" w:color="auto"/>
              </w:divBdr>
            </w:div>
            <w:div w:id="1218198539">
              <w:marLeft w:val="0"/>
              <w:marRight w:val="0"/>
              <w:marTop w:val="0"/>
              <w:marBottom w:val="0"/>
              <w:divBdr>
                <w:top w:val="none" w:sz="0" w:space="0" w:color="auto"/>
                <w:left w:val="none" w:sz="0" w:space="0" w:color="auto"/>
                <w:bottom w:val="none" w:sz="0" w:space="0" w:color="auto"/>
                <w:right w:val="none" w:sz="0" w:space="0" w:color="auto"/>
              </w:divBdr>
            </w:div>
            <w:div w:id="1234436253">
              <w:marLeft w:val="0"/>
              <w:marRight w:val="0"/>
              <w:marTop w:val="0"/>
              <w:marBottom w:val="0"/>
              <w:divBdr>
                <w:top w:val="none" w:sz="0" w:space="0" w:color="auto"/>
                <w:left w:val="none" w:sz="0" w:space="0" w:color="auto"/>
                <w:bottom w:val="none" w:sz="0" w:space="0" w:color="auto"/>
                <w:right w:val="none" w:sz="0" w:space="0" w:color="auto"/>
              </w:divBdr>
            </w:div>
            <w:div w:id="1463116903">
              <w:marLeft w:val="0"/>
              <w:marRight w:val="0"/>
              <w:marTop w:val="0"/>
              <w:marBottom w:val="0"/>
              <w:divBdr>
                <w:top w:val="none" w:sz="0" w:space="0" w:color="auto"/>
                <w:left w:val="none" w:sz="0" w:space="0" w:color="auto"/>
                <w:bottom w:val="none" w:sz="0" w:space="0" w:color="auto"/>
                <w:right w:val="none" w:sz="0" w:space="0" w:color="auto"/>
              </w:divBdr>
            </w:div>
            <w:div w:id="1586651887">
              <w:marLeft w:val="0"/>
              <w:marRight w:val="0"/>
              <w:marTop w:val="0"/>
              <w:marBottom w:val="0"/>
              <w:divBdr>
                <w:top w:val="none" w:sz="0" w:space="0" w:color="auto"/>
                <w:left w:val="none" w:sz="0" w:space="0" w:color="auto"/>
                <w:bottom w:val="none" w:sz="0" w:space="0" w:color="auto"/>
                <w:right w:val="none" w:sz="0" w:space="0" w:color="auto"/>
              </w:divBdr>
            </w:div>
            <w:div w:id="1645620736">
              <w:marLeft w:val="0"/>
              <w:marRight w:val="0"/>
              <w:marTop w:val="0"/>
              <w:marBottom w:val="0"/>
              <w:divBdr>
                <w:top w:val="none" w:sz="0" w:space="0" w:color="auto"/>
                <w:left w:val="none" w:sz="0" w:space="0" w:color="auto"/>
                <w:bottom w:val="none" w:sz="0" w:space="0" w:color="auto"/>
                <w:right w:val="none" w:sz="0" w:space="0" w:color="auto"/>
              </w:divBdr>
            </w:div>
            <w:div w:id="1679695156">
              <w:marLeft w:val="0"/>
              <w:marRight w:val="0"/>
              <w:marTop w:val="0"/>
              <w:marBottom w:val="0"/>
              <w:divBdr>
                <w:top w:val="none" w:sz="0" w:space="0" w:color="auto"/>
                <w:left w:val="none" w:sz="0" w:space="0" w:color="auto"/>
                <w:bottom w:val="none" w:sz="0" w:space="0" w:color="auto"/>
                <w:right w:val="none" w:sz="0" w:space="0" w:color="auto"/>
              </w:divBdr>
            </w:div>
            <w:div w:id="1840151059">
              <w:marLeft w:val="0"/>
              <w:marRight w:val="0"/>
              <w:marTop w:val="0"/>
              <w:marBottom w:val="0"/>
              <w:divBdr>
                <w:top w:val="none" w:sz="0" w:space="0" w:color="auto"/>
                <w:left w:val="none" w:sz="0" w:space="0" w:color="auto"/>
                <w:bottom w:val="none" w:sz="0" w:space="0" w:color="auto"/>
                <w:right w:val="none" w:sz="0" w:space="0" w:color="auto"/>
              </w:divBdr>
            </w:div>
            <w:div w:id="19274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5724">
      <w:bodyDiv w:val="1"/>
      <w:marLeft w:val="0"/>
      <w:marRight w:val="0"/>
      <w:marTop w:val="0"/>
      <w:marBottom w:val="0"/>
      <w:divBdr>
        <w:top w:val="none" w:sz="0" w:space="0" w:color="auto"/>
        <w:left w:val="none" w:sz="0" w:space="0" w:color="auto"/>
        <w:bottom w:val="none" w:sz="0" w:space="0" w:color="auto"/>
        <w:right w:val="none" w:sz="0" w:space="0" w:color="auto"/>
      </w:divBdr>
      <w:divsChild>
        <w:div w:id="1535385388">
          <w:marLeft w:val="0"/>
          <w:marRight w:val="0"/>
          <w:marTop w:val="0"/>
          <w:marBottom w:val="0"/>
          <w:divBdr>
            <w:top w:val="none" w:sz="0" w:space="0" w:color="auto"/>
            <w:left w:val="none" w:sz="0" w:space="0" w:color="auto"/>
            <w:bottom w:val="none" w:sz="0" w:space="0" w:color="auto"/>
            <w:right w:val="none" w:sz="0" w:space="0" w:color="auto"/>
          </w:divBdr>
        </w:div>
      </w:divsChild>
    </w:div>
    <w:div w:id="2075658622">
      <w:bodyDiv w:val="1"/>
      <w:marLeft w:val="0"/>
      <w:marRight w:val="0"/>
      <w:marTop w:val="0"/>
      <w:marBottom w:val="0"/>
      <w:divBdr>
        <w:top w:val="none" w:sz="0" w:space="0" w:color="auto"/>
        <w:left w:val="none" w:sz="0" w:space="0" w:color="auto"/>
        <w:bottom w:val="none" w:sz="0" w:space="0" w:color="auto"/>
        <w:right w:val="none" w:sz="0" w:space="0" w:color="auto"/>
      </w:divBdr>
      <w:divsChild>
        <w:div w:id="128671750">
          <w:marLeft w:val="0"/>
          <w:marRight w:val="0"/>
          <w:marTop w:val="0"/>
          <w:marBottom w:val="0"/>
          <w:divBdr>
            <w:top w:val="none" w:sz="0" w:space="0" w:color="auto"/>
            <w:left w:val="none" w:sz="0" w:space="0" w:color="auto"/>
            <w:bottom w:val="none" w:sz="0" w:space="0" w:color="auto"/>
            <w:right w:val="none" w:sz="0" w:space="0" w:color="auto"/>
          </w:divBdr>
        </w:div>
        <w:div w:id="257446223">
          <w:marLeft w:val="0"/>
          <w:marRight w:val="0"/>
          <w:marTop w:val="0"/>
          <w:marBottom w:val="0"/>
          <w:divBdr>
            <w:top w:val="none" w:sz="0" w:space="0" w:color="auto"/>
            <w:left w:val="none" w:sz="0" w:space="0" w:color="auto"/>
            <w:bottom w:val="none" w:sz="0" w:space="0" w:color="auto"/>
            <w:right w:val="none" w:sz="0" w:space="0" w:color="auto"/>
          </w:divBdr>
        </w:div>
        <w:div w:id="327095538">
          <w:marLeft w:val="0"/>
          <w:marRight w:val="0"/>
          <w:marTop w:val="0"/>
          <w:marBottom w:val="0"/>
          <w:divBdr>
            <w:top w:val="none" w:sz="0" w:space="0" w:color="auto"/>
            <w:left w:val="none" w:sz="0" w:space="0" w:color="auto"/>
            <w:bottom w:val="none" w:sz="0" w:space="0" w:color="auto"/>
            <w:right w:val="none" w:sz="0" w:space="0" w:color="auto"/>
          </w:divBdr>
        </w:div>
        <w:div w:id="604730282">
          <w:marLeft w:val="0"/>
          <w:marRight w:val="0"/>
          <w:marTop w:val="0"/>
          <w:marBottom w:val="0"/>
          <w:divBdr>
            <w:top w:val="none" w:sz="0" w:space="0" w:color="auto"/>
            <w:left w:val="none" w:sz="0" w:space="0" w:color="auto"/>
            <w:bottom w:val="none" w:sz="0" w:space="0" w:color="auto"/>
            <w:right w:val="none" w:sz="0" w:space="0" w:color="auto"/>
          </w:divBdr>
        </w:div>
        <w:div w:id="698311922">
          <w:marLeft w:val="0"/>
          <w:marRight w:val="0"/>
          <w:marTop w:val="0"/>
          <w:marBottom w:val="0"/>
          <w:divBdr>
            <w:top w:val="none" w:sz="0" w:space="0" w:color="auto"/>
            <w:left w:val="none" w:sz="0" w:space="0" w:color="auto"/>
            <w:bottom w:val="none" w:sz="0" w:space="0" w:color="auto"/>
            <w:right w:val="none" w:sz="0" w:space="0" w:color="auto"/>
          </w:divBdr>
        </w:div>
        <w:div w:id="1060061412">
          <w:marLeft w:val="0"/>
          <w:marRight w:val="0"/>
          <w:marTop w:val="0"/>
          <w:marBottom w:val="0"/>
          <w:divBdr>
            <w:top w:val="none" w:sz="0" w:space="0" w:color="auto"/>
            <w:left w:val="none" w:sz="0" w:space="0" w:color="auto"/>
            <w:bottom w:val="none" w:sz="0" w:space="0" w:color="auto"/>
            <w:right w:val="none" w:sz="0" w:space="0" w:color="auto"/>
          </w:divBdr>
        </w:div>
        <w:div w:id="1074551197">
          <w:marLeft w:val="0"/>
          <w:marRight w:val="0"/>
          <w:marTop w:val="0"/>
          <w:marBottom w:val="0"/>
          <w:divBdr>
            <w:top w:val="none" w:sz="0" w:space="0" w:color="auto"/>
            <w:left w:val="none" w:sz="0" w:space="0" w:color="auto"/>
            <w:bottom w:val="none" w:sz="0" w:space="0" w:color="auto"/>
            <w:right w:val="none" w:sz="0" w:space="0" w:color="auto"/>
          </w:divBdr>
        </w:div>
        <w:div w:id="1624533756">
          <w:marLeft w:val="0"/>
          <w:marRight w:val="0"/>
          <w:marTop w:val="0"/>
          <w:marBottom w:val="0"/>
          <w:divBdr>
            <w:top w:val="none" w:sz="0" w:space="0" w:color="auto"/>
            <w:left w:val="none" w:sz="0" w:space="0" w:color="auto"/>
            <w:bottom w:val="none" w:sz="0" w:space="0" w:color="auto"/>
            <w:right w:val="none" w:sz="0" w:space="0" w:color="auto"/>
          </w:divBdr>
        </w:div>
        <w:div w:id="1852407748">
          <w:marLeft w:val="0"/>
          <w:marRight w:val="0"/>
          <w:marTop w:val="0"/>
          <w:marBottom w:val="0"/>
          <w:divBdr>
            <w:top w:val="none" w:sz="0" w:space="0" w:color="auto"/>
            <w:left w:val="none" w:sz="0" w:space="0" w:color="auto"/>
            <w:bottom w:val="none" w:sz="0" w:space="0" w:color="auto"/>
            <w:right w:val="none" w:sz="0" w:space="0" w:color="auto"/>
          </w:divBdr>
        </w:div>
        <w:div w:id="1933201367">
          <w:marLeft w:val="0"/>
          <w:marRight w:val="0"/>
          <w:marTop w:val="0"/>
          <w:marBottom w:val="0"/>
          <w:divBdr>
            <w:top w:val="none" w:sz="0" w:space="0" w:color="auto"/>
            <w:left w:val="none" w:sz="0" w:space="0" w:color="auto"/>
            <w:bottom w:val="none" w:sz="0" w:space="0" w:color="auto"/>
            <w:right w:val="none" w:sz="0" w:space="0" w:color="auto"/>
          </w:divBdr>
        </w:div>
        <w:div w:id="2077125667">
          <w:marLeft w:val="0"/>
          <w:marRight w:val="0"/>
          <w:marTop w:val="0"/>
          <w:marBottom w:val="0"/>
          <w:divBdr>
            <w:top w:val="none" w:sz="0" w:space="0" w:color="auto"/>
            <w:left w:val="none" w:sz="0" w:space="0" w:color="auto"/>
            <w:bottom w:val="none" w:sz="0" w:space="0" w:color="auto"/>
            <w:right w:val="none" w:sz="0" w:space="0" w:color="auto"/>
          </w:divBdr>
        </w:div>
      </w:divsChild>
    </w:div>
    <w:div w:id="2121797198">
      <w:bodyDiv w:val="1"/>
      <w:marLeft w:val="0"/>
      <w:marRight w:val="0"/>
      <w:marTop w:val="0"/>
      <w:marBottom w:val="0"/>
      <w:divBdr>
        <w:top w:val="none" w:sz="0" w:space="0" w:color="auto"/>
        <w:left w:val="none" w:sz="0" w:space="0" w:color="auto"/>
        <w:bottom w:val="none" w:sz="0" w:space="0" w:color="auto"/>
        <w:right w:val="none" w:sz="0" w:space="0" w:color="auto"/>
      </w:divBdr>
      <w:divsChild>
        <w:div w:id="189609064">
          <w:marLeft w:val="0"/>
          <w:marRight w:val="0"/>
          <w:marTop w:val="0"/>
          <w:marBottom w:val="0"/>
          <w:divBdr>
            <w:top w:val="none" w:sz="0" w:space="0" w:color="auto"/>
            <w:left w:val="none" w:sz="0" w:space="0" w:color="auto"/>
            <w:bottom w:val="none" w:sz="0" w:space="0" w:color="auto"/>
            <w:right w:val="none" w:sz="0" w:space="0" w:color="auto"/>
          </w:divBdr>
        </w:div>
        <w:div w:id="1513957165">
          <w:marLeft w:val="0"/>
          <w:marRight w:val="0"/>
          <w:marTop w:val="0"/>
          <w:marBottom w:val="0"/>
          <w:divBdr>
            <w:top w:val="none" w:sz="0" w:space="0" w:color="auto"/>
            <w:left w:val="none" w:sz="0" w:space="0" w:color="auto"/>
            <w:bottom w:val="none" w:sz="0" w:space="0" w:color="auto"/>
            <w:right w:val="none" w:sz="0" w:space="0" w:color="auto"/>
          </w:divBdr>
        </w:div>
      </w:divsChild>
    </w:div>
    <w:div w:id="21316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mze.gov.cz/public/portal/mze/zemedelstvi/rostlinna-vyroba/sezonni-kalendar-ovoce-zeleniny-a-brambor-2" TargetMode="External"/><Relationship Id="rId18" Type="http://schemas.openxmlformats.org/officeDocument/2006/relationships/hyperlink" Target="https://www.nzip.cz/clanek/453-rakovina-tlusteho-streva-a-konecniku-prevence" TargetMode="External"/><Relationship Id="rId26" Type="http://schemas.openxmlformats.org/officeDocument/2006/relationships/hyperlink" Target="https://ec.europa.eu/eurostat/statistics-explained/index.php?title=Food_waste_and_food_waste_prevention_-_estimates" TargetMode="External"/><Relationship Id="rId3" Type="http://schemas.openxmlformats.org/officeDocument/2006/relationships/hyperlink" Target="https://vyhledavac.nssoud.cz/DokumentOriginal/Html/717225" TargetMode="External"/><Relationship Id="rId21" Type="http://schemas.openxmlformats.org/officeDocument/2006/relationships/hyperlink" Target="https://www.science.org/doi/10.1126/science.aaq0216" TargetMode="External"/><Relationship Id="rId34" Type="http://schemas.openxmlformats.org/officeDocument/2006/relationships/hyperlink" Target="https://portal-vz.cz/legislativa-a-judikatura/evropska-legislativa-2/" TargetMode="External"/><Relationship Id="rId7" Type="http://schemas.openxmlformats.org/officeDocument/2006/relationships/hyperlink" Target="https://portal.mze.cz/ssl/portal/mze/zemedelstvi/ekologicke-zemedelstvi/legislativa/zakony-a-narizeni" TargetMode="External"/><Relationship Id="rId12" Type="http://schemas.openxmlformats.org/officeDocument/2006/relationships/hyperlink" Target="https://mze.gov.cz/public/portal/mze/zemedelstvi/rostlinna-vyroba/sezonni-kalendar-ovoce-zeleniny-a-brambor-2" TargetMode="External"/><Relationship Id="rId17" Type="http://schemas.openxmlformats.org/officeDocument/2006/relationships/hyperlink" Target="http://www.wcrf.org/risk-factors/meat-fish-dairy-and-cancer-risk/" TargetMode="External"/><Relationship Id="rId25" Type="http://schemas.openxmlformats.org/officeDocument/2006/relationships/hyperlink" Target="https://circabc.europa.eu/ui/group/44278090-3fae-4515-bcc2-44fd57c1d0d1/library/4cd0bac4-dff5-46b5-bfcd-8f69dc9cf63a/details" TargetMode="External"/><Relationship Id="rId33" Type="http://schemas.openxmlformats.org/officeDocument/2006/relationships/hyperlink" Target="https://eur-lex.europa.eu/legal-content/CS/TXT/PDF/?uri=CELEX:32010R0066" TargetMode="External"/><Relationship Id="rId2" Type="http://schemas.openxmlformats.org/officeDocument/2006/relationships/hyperlink" Target="https://vyhledavac.nssoud.cz/DokumentOriginal/Html/736022" TargetMode="External"/><Relationship Id="rId16" Type="http://schemas.openxmlformats.org/officeDocument/2006/relationships/hyperlink" Target="https://www.escardio.org/Education/ESC-Prevention-of-CVD-Programme/Treatment-goals/Risk-factor-control/nutrition" TargetMode="External"/><Relationship Id="rId20" Type="http://schemas.openxmlformats.org/officeDocument/2006/relationships/hyperlink" Target="https://www.uzis.cz/res/f/008435/zdrroccz2021.pdf" TargetMode="External"/><Relationship Id="rId29" Type="http://schemas.openxmlformats.org/officeDocument/2006/relationships/hyperlink" Target="https://circabc.europa.eu/ui/group/44278090-3fae-4515-bcc2-44fd57c1d0d1/library/0734970c-4b3d-4736-9ca2-ef7d3c3c13f8/details" TargetMode="External"/><Relationship Id="rId1" Type="http://schemas.openxmlformats.org/officeDocument/2006/relationships/hyperlink" Target="https://eur-lex.europa.eu/legal-content/CS/TXT/HTML/?uri=CELEX:62018CJ0395" TargetMode="External"/><Relationship Id="rId6" Type="http://schemas.openxmlformats.org/officeDocument/2006/relationships/hyperlink" Target="https://eur-lex.europa.eu/legal-content/CS/TXT/PDF/?uri=CELEX:02018R0848-20241201" TargetMode="External"/><Relationship Id="rId11" Type="http://schemas.openxmlformats.org/officeDocument/2006/relationships/hyperlink" Target="https://circabc.europa.eu/ui/group/44278090-3fae-4515-bcc2-44fd57c1d0d1/library/0734970c-4b3d-4736-9ca2-ef7d3c3c13f8/details" TargetMode="External"/><Relationship Id="rId24" Type="http://schemas.openxmlformats.org/officeDocument/2006/relationships/hyperlink" Target="https://circabc.europa.eu/ui/group/44278090-3fae-4515-bcc2-44fd57c1d0d1/library/0734970c-4b3d-4736-9ca2-ef7d3c3c13f8/details" TargetMode="External"/><Relationship Id="rId32" Type="http://schemas.openxmlformats.org/officeDocument/2006/relationships/hyperlink" Target="https://environment.ec.europa.eu/topics/circular-economy/eu-ecolabel/product-groups-and-criteria/cleaning_en" TargetMode="External"/><Relationship Id="rId5" Type="http://schemas.openxmlformats.org/officeDocument/2006/relationships/hyperlink" Target="https://www.ekoznacka.cz/wp-content/uploads/2022/11/papir_ekoznacky_fakt_sheet_graficky_a_tissue_papir.pdf" TargetMode="External"/><Relationship Id="rId15" Type="http://schemas.openxmlformats.org/officeDocument/2006/relationships/hyperlink" Target="https://www.nzip.cz/clanek/347-stravovani-a-kardiovaskularni-nemoci" TargetMode="External"/><Relationship Id="rId23" Type="http://schemas.openxmlformats.org/officeDocument/2006/relationships/hyperlink" Target="https://faktaoklimatu.cz/infografiky/emise-cr" TargetMode="External"/><Relationship Id="rId28" Type="http://schemas.openxmlformats.org/officeDocument/2006/relationships/hyperlink" Target="https://docs.google.com/presentation/d/1pfJUiwUWyVpYDcBEsrYCYScGAQd1MRPt/edit" TargetMode="External"/><Relationship Id="rId10" Type="http://schemas.openxmlformats.org/officeDocument/2006/relationships/hyperlink" Target="http://www.eagri.cz/rep" TargetMode="External"/><Relationship Id="rId19" Type="http://schemas.openxmlformats.org/officeDocument/2006/relationships/hyperlink" Target="https://publications.iarc.fr/Book-And-Report-Series/Iarc-Monographs-On-The-Identification-Of-Carcinogenic-Hazards-To-Humans/Red-Meat-And-Processed-Meat-2018" TargetMode="External"/><Relationship Id="rId31" Type="http://schemas.openxmlformats.org/officeDocument/2006/relationships/hyperlink" Target="https://eur-lex.europa.eu/legal-content/CS/TXT/PDF/?uri=CELEX:32017D1217" TargetMode="External"/><Relationship Id="rId4" Type="http://schemas.openxmlformats.org/officeDocument/2006/relationships/hyperlink" Target="https://emaseu.cz/sites/default/files/cenia/Krit%C3%A9ria%20ekozna%C4%8Dky%20pro%20grafick%C3%BD%20a%20tissue%20pap%C3%ADr.pdf" TargetMode="External"/><Relationship Id="rId9" Type="http://schemas.openxmlformats.org/officeDocument/2006/relationships/hyperlink" Target="https://kde.lovime.bio/" TargetMode="External"/><Relationship Id="rId14" Type="http://schemas.openxmlformats.org/officeDocument/2006/relationships/hyperlink" Target="https://webgate.ec.europa.eu/tracesnt/directory/listing/establishment/publication/index" TargetMode="External"/><Relationship Id="rId22" Type="http://schemas.openxmlformats.org/officeDocument/2006/relationships/hyperlink" Target="https://faktaoklimatu.cz/infografiky/emise-cr-zemedelstvi" TargetMode="External"/><Relationship Id="rId27" Type="http://schemas.openxmlformats.org/officeDocument/2006/relationships/hyperlink" Target="https://www.mdpi.com/2304-8158/10/4/875" TargetMode="External"/><Relationship Id="rId30" Type="http://schemas.openxmlformats.org/officeDocument/2006/relationships/hyperlink" Target="https://circabc.europa.eu/ui/group/44278090-3fae-4515-bcc2-44fd57c1d0d1/library/4cd0bac4-dff5-46b5-bfcd-8f69dc9cf63a/details" TargetMode="External"/><Relationship Id="rId8" Type="http://schemas.openxmlformats.org/officeDocument/2006/relationships/hyperlink" Target="https://myjsmebio.gov.cz/aktuality/a/biopotraviny-miri-do-verejneho-stravovani-vetsina-cechu-zmenu-vit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projekty\!!!ve&#345;ejn&#233;%20stravov&#225;n&#237;\2024\MMR\2024-06-06%20-%20kulat&#253;%20st&#367;l\komodity_kraje_2022_nazv.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projekty\!!!ve&#345;ejn&#233;%20stravov&#225;n&#237;\2024\MMR\2024-06-06%20-%20kulat&#253;%20st&#367;l\komodity_kraje_2022_nazv.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Produkce</a:t>
            </a:r>
            <a:r>
              <a:rPr lang="cs-CZ" baseline="0"/>
              <a:t> mléka v biokvalitě v krajích ČR</a:t>
            </a:r>
            <a:r>
              <a:rPr lang="cs-CZ"/>
              <a:t> (l)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ŽV!$C$36</c:f>
              <c:strCache>
                <c:ptCount val="1"/>
                <c:pt idx="0">
                  <c:v>Mléko</c:v>
                </c:pt>
              </c:strCache>
            </c:strRef>
          </c:tx>
          <c:spPr>
            <a:solidFill>
              <a:schemeClr val="accent1"/>
            </a:solidFill>
            <a:ln>
              <a:noFill/>
            </a:ln>
            <a:effectLst/>
          </c:spPr>
          <c:invertIfNegative val="0"/>
          <c:cat>
            <c:strRef>
              <c:f>ŽV!$D$35:$Q$35</c:f>
              <c:strCache>
                <c:ptCount val="14"/>
                <c:pt idx="0">
                  <c:v>Jihočeský</c:v>
                </c:pt>
                <c:pt idx="1">
                  <c:v>Plzeňský</c:v>
                </c:pt>
                <c:pt idx="2">
                  <c:v>Moravskoslezský</c:v>
                </c:pt>
                <c:pt idx="3">
                  <c:v>Karlovarský</c:v>
                </c:pt>
                <c:pt idx="4">
                  <c:v>Ústecký</c:v>
                </c:pt>
                <c:pt idx="5">
                  <c:v>Olomoucký</c:v>
                </c:pt>
                <c:pt idx="6">
                  <c:v>Zlínský</c:v>
                </c:pt>
                <c:pt idx="7">
                  <c:v>Liberecký</c:v>
                </c:pt>
                <c:pt idx="8">
                  <c:v>Středočeský</c:v>
                </c:pt>
                <c:pt idx="9">
                  <c:v>Královehradecký</c:v>
                </c:pt>
                <c:pt idx="10">
                  <c:v>Jihomoravský</c:v>
                </c:pt>
                <c:pt idx="11">
                  <c:v>Vysočina</c:v>
                </c:pt>
                <c:pt idx="12">
                  <c:v>Pardubický</c:v>
                </c:pt>
                <c:pt idx="13">
                  <c:v>Praha</c:v>
                </c:pt>
              </c:strCache>
            </c:strRef>
          </c:cat>
          <c:val>
            <c:numRef>
              <c:f>ŽV!$D$36:$Q$36</c:f>
              <c:numCache>
                <c:formatCode>General</c:formatCode>
                <c:ptCount val="14"/>
                <c:pt idx="0">
                  <c:v>2534700</c:v>
                </c:pt>
                <c:pt idx="1">
                  <c:v>2871100</c:v>
                </c:pt>
                <c:pt idx="2">
                  <c:v>2824340</c:v>
                </c:pt>
                <c:pt idx="3">
                  <c:v>4124500</c:v>
                </c:pt>
                <c:pt idx="4">
                  <c:v>1813000</c:v>
                </c:pt>
                <c:pt idx="5">
                  <c:v>3241500</c:v>
                </c:pt>
                <c:pt idx="6">
                  <c:v>2115500</c:v>
                </c:pt>
                <c:pt idx="7">
                  <c:v>1475600</c:v>
                </c:pt>
                <c:pt idx="8">
                  <c:v>670600</c:v>
                </c:pt>
                <c:pt idx="9">
                  <c:v>1379000</c:v>
                </c:pt>
                <c:pt idx="10">
                  <c:v>432000</c:v>
                </c:pt>
                <c:pt idx="11">
                  <c:v>9519500</c:v>
                </c:pt>
                <c:pt idx="12">
                  <c:v>2958600</c:v>
                </c:pt>
                <c:pt idx="13">
                  <c:v>3500</c:v>
                </c:pt>
              </c:numCache>
            </c:numRef>
          </c:val>
          <c:extLst>
            <c:ext xmlns:c16="http://schemas.microsoft.com/office/drawing/2014/chart" uri="{C3380CC4-5D6E-409C-BE32-E72D297353CC}">
              <c16:uniqueId val="{00000000-3970-47E3-B6B7-CE7086C17886}"/>
            </c:ext>
          </c:extLst>
        </c:ser>
        <c:dLbls>
          <c:showLegendKey val="0"/>
          <c:showVal val="0"/>
          <c:showCatName val="0"/>
          <c:showSerName val="0"/>
          <c:showPercent val="0"/>
          <c:showBubbleSize val="0"/>
        </c:dLbls>
        <c:gapWidth val="219"/>
        <c:overlap val="-27"/>
        <c:axId val="1199444320"/>
        <c:axId val="1199444800"/>
      </c:barChart>
      <c:catAx>
        <c:axId val="119944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99444800"/>
        <c:crosses val="autoZero"/>
        <c:auto val="1"/>
        <c:lblAlgn val="ctr"/>
        <c:lblOffset val="100"/>
        <c:noMultiLvlLbl val="0"/>
      </c:catAx>
      <c:valAx>
        <c:axId val="119944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99444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b="0" i="0" u="none" strike="noStrike" kern="1200" spc="0" baseline="0">
                <a:solidFill>
                  <a:sysClr val="windowText" lastClr="000000">
                    <a:lumMod val="65000"/>
                    <a:lumOff val="35000"/>
                  </a:sysClr>
                </a:solidFill>
              </a:rPr>
              <a:t>Produkce hovězího masa v biokvalitě v krajích ČR </a:t>
            </a:r>
            <a:r>
              <a:rPr lang="cs-CZ"/>
              <a:t>(t)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ŽV!$C$27</c:f>
              <c:strCache>
                <c:ptCount val="1"/>
                <c:pt idx="0">
                  <c:v>Hovězí maso</c:v>
                </c:pt>
              </c:strCache>
            </c:strRef>
          </c:tx>
          <c:spPr>
            <a:solidFill>
              <a:schemeClr val="accent1"/>
            </a:solidFill>
            <a:ln>
              <a:noFill/>
            </a:ln>
            <a:effectLst/>
          </c:spPr>
          <c:invertIfNegative val="0"/>
          <c:cat>
            <c:strRef>
              <c:f>ŽV!$D$26:$Q$26</c:f>
              <c:strCache>
                <c:ptCount val="14"/>
                <c:pt idx="0">
                  <c:v>Jihočeský</c:v>
                </c:pt>
                <c:pt idx="1">
                  <c:v>Plzeňský</c:v>
                </c:pt>
                <c:pt idx="2">
                  <c:v>Moravskoslezský</c:v>
                </c:pt>
                <c:pt idx="3">
                  <c:v>Karlovarský</c:v>
                </c:pt>
                <c:pt idx="4">
                  <c:v>Ústecký</c:v>
                </c:pt>
                <c:pt idx="5">
                  <c:v>Olomoucký</c:v>
                </c:pt>
                <c:pt idx="6">
                  <c:v>Zlínský</c:v>
                </c:pt>
                <c:pt idx="7">
                  <c:v>Liberecký</c:v>
                </c:pt>
                <c:pt idx="8">
                  <c:v>Středočeský</c:v>
                </c:pt>
                <c:pt idx="9">
                  <c:v>Královehradecký</c:v>
                </c:pt>
                <c:pt idx="10">
                  <c:v>Jihomoravský</c:v>
                </c:pt>
                <c:pt idx="11">
                  <c:v>Vysočina</c:v>
                </c:pt>
                <c:pt idx="12">
                  <c:v>Pardubický</c:v>
                </c:pt>
                <c:pt idx="13">
                  <c:v>Praha</c:v>
                </c:pt>
              </c:strCache>
            </c:strRef>
          </c:cat>
          <c:val>
            <c:numRef>
              <c:f>ŽV!$D$27:$Q$27</c:f>
              <c:numCache>
                <c:formatCode>General</c:formatCode>
                <c:ptCount val="14"/>
                <c:pt idx="0">
                  <c:v>1123.7080000000001</c:v>
                </c:pt>
                <c:pt idx="1">
                  <c:v>1139.8309999999999</c:v>
                </c:pt>
                <c:pt idx="2">
                  <c:v>1237.049</c:v>
                </c:pt>
                <c:pt idx="3">
                  <c:v>732.59500000000003</c:v>
                </c:pt>
                <c:pt idx="4">
                  <c:v>861.53099999999995</c:v>
                </c:pt>
                <c:pt idx="5">
                  <c:v>550.73199999999997</c:v>
                </c:pt>
                <c:pt idx="6">
                  <c:v>414.50200000000001</c:v>
                </c:pt>
                <c:pt idx="7">
                  <c:v>607.86599999999999</c:v>
                </c:pt>
                <c:pt idx="8">
                  <c:v>409.00200000000001</c:v>
                </c:pt>
                <c:pt idx="9">
                  <c:v>563.53</c:v>
                </c:pt>
                <c:pt idx="10">
                  <c:v>63.619</c:v>
                </c:pt>
                <c:pt idx="11">
                  <c:v>634.48599999999999</c:v>
                </c:pt>
                <c:pt idx="12">
                  <c:v>328.53199999999998</c:v>
                </c:pt>
                <c:pt idx="13">
                  <c:v>14.465</c:v>
                </c:pt>
              </c:numCache>
            </c:numRef>
          </c:val>
          <c:extLst>
            <c:ext xmlns:c16="http://schemas.microsoft.com/office/drawing/2014/chart" uri="{C3380CC4-5D6E-409C-BE32-E72D297353CC}">
              <c16:uniqueId val="{00000000-5F33-4B43-A4AE-44309430C279}"/>
            </c:ext>
          </c:extLst>
        </c:ser>
        <c:dLbls>
          <c:showLegendKey val="0"/>
          <c:showVal val="0"/>
          <c:showCatName val="0"/>
          <c:showSerName val="0"/>
          <c:showPercent val="0"/>
          <c:showBubbleSize val="0"/>
        </c:dLbls>
        <c:gapWidth val="219"/>
        <c:overlap val="-27"/>
        <c:axId val="1105746240"/>
        <c:axId val="1105746720"/>
      </c:barChart>
      <c:catAx>
        <c:axId val="110574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5746720"/>
        <c:crosses val="autoZero"/>
        <c:auto val="1"/>
        <c:lblAlgn val="ctr"/>
        <c:lblOffset val="100"/>
        <c:noMultiLvlLbl val="0"/>
      </c:catAx>
      <c:valAx>
        <c:axId val="110574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5746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02385C3B5A254CBD327BF70AB46767" ma:contentTypeVersion="16" ma:contentTypeDescription="Vytvoří nový dokument" ma:contentTypeScope="" ma:versionID="3b4211efd41116ca0ef5348a86d488b7">
  <xsd:schema xmlns:xsd="http://www.w3.org/2001/XMLSchema" xmlns:xs="http://www.w3.org/2001/XMLSchema" xmlns:p="http://schemas.microsoft.com/office/2006/metadata/properties" xmlns:ns2="c7130aa1-df8d-4cfc-b5ca-c8e75a54ac58" xmlns:ns3="3a05a313-e8ba-434f-93a9-e1335f2c2059" targetNamespace="http://schemas.microsoft.com/office/2006/metadata/properties" ma:root="true" ma:fieldsID="23dd16f7cd69584970e5cf33f5079be9" ns2:_="" ns3:_="">
    <xsd:import namespace="c7130aa1-df8d-4cfc-b5ca-c8e75a54ac58"/>
    <xsd:import namespace="3a05a313-e8ba-434f-93a9-e1335f2c20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30aa1-df8d-4cfc-b5ca-c8e75a54a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05a313-e8ba-434f-93a9-e1335f2c20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f8e3e-5ae1-4fdc-85ba-64480fc9b50f}" ma:internalName="TaxCatchAll" ma:showField="CatchAllData" ma:web="3a05a313-e8ba-434f-93a9-e1335f2c20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130aa1-df8d-4cfc-b5ca-c8e75a54ac58">
      <Terms xmlns="http://schemas.microsoft.com/office/infopath/2007/PartnerControls"/>
    </lcf76f155ced4ddcb4097134ff3c332f>
    <TaxCatchAll xmlns="3a05a313-e8ba-434f-93a9-e1335f2c20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7D806-34C3-4260-BAFB-814C65D38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30aa1-df8d-4cfc-b5ca-c8e75a54ac58"/>
    <ds:schemaRef ds:uri="3a05a313-e8ba-434f-93a9-e1335f2c2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2C716-F196-4ED5-A139-1CA10392437E}">
  <ds:schemaRefs>
    <ds:schemaRef ds:uri="http://schemas.microsoft.com/office/2006/metadata/properties"/>
    <ds:schemaRef ds:uri="http://schemas.microsoft.com/office/infopath/2007/PartnerControls"/>
    <ds:schemaRef ds:uri="c7130aa1-df8d-4cfc-b5ca-c8e75a54ac58"/>
    <ds:schemaRef ds:uri="3a05a313-e8ba-434f-93a9-e1335f2c2059"/>
  </ds:schemaRefs>
</ds:datastoreItem>
</file>

<file path=customXml/itemProps3.xml><?xml version="1.0" encoding="utf-8"?>
<ds:datastoreItem xmlns:ds="http://schemas.openxmlformats.org/officeDocument/2006/customXml" ds:itemID="{D940982A-3A42-47F4-A835-C0A127D5A405}">
  <ds:schemaRefs>
    <ds:schemaRef ds:uri="http://schemas.openxmlformats.org/officeDocument/2006/bibliography"/>
  </ds:schemaRefs>
</ds:datastoreItem>
</file>

<file path=customXml/itemProps4.xml><?xml version="1.0" encoding="utf-8"?>
<ds:datastoreItem xmlns:ds="http://schemas.openxmlformats.org/officeDocument/2006/customXml" ds:itemID="{A34ABA86-FACF-4591-B9E4-EA9EF2893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8320</Words>
  <Characters>49092</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57298</CharactersWithSpaces>
  <SharedDoc>false</SharedDoc>
  <HLinks>
    <vt:vector size="138" baseType="variant">
      <vt:variant>
        <vt:i4>5111835</vt:i4>
      </vt:variant>
      <vt:variant>
        <vt:i4>66</vt:i4>
      </vt:variant>
      <vt:variant>
        <vt:i4>0</vt:i4>
      </vt:variant>
      <vt:variant>
        <vt:i4>5</vt:i4>
      </vt:variant>
      <vt:variant>
        <vt:lpwstr>https://circabc.europa.eu/ui/group/44278090-3fae-4515-bcc2-44fd57c1d0d1/library/4cd0bac4-dff5-46b5-bfcd-8f69dc9cf63a/details</vt:lpwstr>
      </vt:variant>
      <vt:variant>
        <vt:lpwstr/>
      </vt:variant>
      <vt:variant>
        <vt:i4>4194324</vt:i4>
      </vt:variant>
      <vt:variant>
        <vt:i4>63</vt:i4>
      </vt:variant>
      <vt:variant>
        <vt:i4>0</vt:i4>
      </vt:variant>
      <vt:variant>
        <vt:i4>5</vt:i4>
      </vt:variant>
      <vt:variant>
        <vt:lpwstr>https://circabc.europa.eu/ui/group/44278090-3fae-4515-bcc2-44fd57c1d0d1/library/0734970c-4b3d-4736-9ca2-ef7d3c3c13f8/details</vt:lpwstr>
      </vt:variant>
      <vt:variant>
        <vt:lpwstr/>
      </vt:variant>
      <vt:variant>
        <vt:i4>1769558</vt:i4>
      </vt:variant>
      <vt:variant>
        <vt:i4>60</vt:i4>
      </vt:variant>
      <vt:variant>
        <vt:i4>0</vt:i4>
      </vt:variant>
      <vt:variant>
        <vt:i4>5</vt:i4>
      </vt:variant>
      <vt:variant>
        <vt:lpwstr>https://docs.google.com/presentation/d/1pfJUiwUWyVpYDcBEsrYCYScGAQd1MRPt/edit</vt:lpwstr>
      </vt:variant>
      <vt:variant>
        <vt:lpwstr>slide=id.p14</vt:lpwstr>
      </vt:variant>
      <vt:variant>
        <vt:i4>7012394</vt:i4>
      </vt:variant>
      <vt:variant>
        <vt:i4>57</vt:i4>
      </vt:variant>
      <vt:variant>
        <vt:i4>0</vt:i4>
      </vt:variant>
      <vt:variant>
        <vt:i4>5</vt:i4>
      </vt:variant>
      <vt:variant>
        <vt:lpwstr>https://www.mdpi.com/2304-8158/10/4/875</vt:lpwstr>
      </vt:variant>
      <vt:variant>
        <vt:lpwstr/>
      </vt:variant>
      <vt:variant>
        <vt:i4>5308455</vt:i4>
      </vt:variant>
      <vt:variant>
        <vt:i4>54</vt:i4>
      </vt:variant>
      <vt:variant>
        <vt:i4>0</vt:i4>
      </vt:variant>
      <vt:variant>
        <vt:i4>5</vt:i4>
      </vt:variant>
      <vt:variant>
        <vt:lpwstr>https://ec.europa.eu/eurostat/statistics-explained/index.php?title=Food_waste_and_food_waste_prevention_-_estimates</vt:lpwstr>
      </vt:variant>
      <vt:variant>
        <vt:lpwstr/>
      </vt:variant>
      <vt:variant>
        <vt:i4>5111835</vt:i4>
      </vt:variant>
      <vt:variant>
        <vt:i4>51</vt:i4>
      </vt:variant>
      <vt:variant>
        <vt:i4>0</vt:i4>
      </vt:variant>
      <vt:variant>
        <vt:i4>5</vt:i4>
      </vt:variant>
      <vt:variant>
        <vt:lpwstr>https://circabc.europa.eu/ui/group/44278090-3fae-4515-bcc2-44fd57c1d0d1/library/4cd0bac4-dff5-46b5-bfcd-8f69dc9cf63a/details</vt:lpwstr>
      </vt:variant>
      <vt:variant>
        <vt:lpwstr/>
      </vt:variant>
      <vt:variant>
        <vt:i4>4194324</vt:i4>
      </vt:variant>
      <vt:variant>
        <vt:i4>48</vt:i4>
      </vt:variant>
      <vt:variant>
        <vt:i4>0</vt:i4>
      </vt:variant>
      <vt:variant>
        <vt:i4>5</vt:i4>
      </vt:variant>
      <vt:variant>
        <vt:lpwstr>https://circabc.europa.eu/ui/group/44278090-3fae-4515-bcc2-44fd57c1d0d1/library/0734970c-4b3d-4736-9ca2-ef7d3c3c13f8/details</vt:lpwstr>
      </vt:variant>
      <vt:variant>
        <vt:lpwstr/>
      </vt:variant>
      <vt:variant>
        <vt:i4>5832724</vt:i4>
      </vt:variant>
      <vt:variant>
        <vt:i4>45</vt:i4>
      </vt:variant>
      <vt:variant>
        <vt:i4>0</vt:i4>
      </vt:variant>
      <vt:variant>
        <vt:i4>5</vt:i4>
      </vt:variant>
      <vt:variant>
        <vt:lpwstr>https://faktaoklimatu.cz/infografiky/emise-cr</vt:lpwstr>
      </vt:variant>
      <vt:variant>
        <vt:lpwstr/>
      </vt:variant>
      <vt:variant>
        <vt:i4>1310733</vt:i4>
      </vt:variant>
      <vt:variant>
        <vt:i4>42</vt:i4>
      </vt:variant>
      <vt:variant>
        <vt:i4>0</vt:i4>
      </vt:variant>
      <vt:variant>
        <vt:i4>5</vt:i4>
      </vt:variant>
      <vt:variant>
        <vt:lpwstr>https://faktaoklimatu.cz/infografiky/emise-cr-zemedelstvi</vt:lpwstr>
      </vt:variant>
      <vt:variant>
        <vt:lpwstr/>
      </vt:variant>
      <vt:variant>
        <vt:i4>2687103</vt:i4>
      </vt:variant>
      <vt:variant>
        <vt:i4>39</vt:i4>
      </vt:variant>
      <vt:variant>
        <vt:i4>0</vt:i4>
      </vt:variant>
      <vt:variant>
        <vt:i4>5</vt:i4>
      </vt:variant>
      <vt:variant>
        <vt:lpwstr>https://www.science.org/doi/10.1126/science.aaq0216</vt:lpwstr>
      </vt:variant>
      <vt:variant>
        <vt:lpwstr/>
      </vt:variant>
      <vt:variant>
        <vt:i4>1507333</vt:i4>
      </vt:variant>
      <vt:variant>
        <vt:i4>36</vt:i4>
      </vt:variant>
      <vt:variant>
        <vt:i4>0</vt:i4>
      </vt:variant>
      <vt:variant>
        <vt:i4>5</vt:i4>
      </vt:variant>
      <vt:variant>
        <vt:lpwstr>https://www.uzis.cz/res/f/008435/zdrroccz2021.pdf</vt:lpwstr>
      </vt:variant>
      <vt:variant>
        <vt:lpwstr/>
      </vt:variant>
      <vt:variant>
        <vt:i4>5111826</vt:i4>
      </vt:variant>
      <vt:variant>
        <vt:i4>33</vt:i4>
      </vt:variant>
      <vt:variant>
        <vt:i4>0</vt:i4>
      </vt:variant>
      <vt:variant>
        <vt:i4>5</vt:i4>
      </vt:variant>
      <vt:variant>
        <vt:lpwstr>https://publications.iarc.fr/Book-And-Report-Series/Iarc-Monographs-On-The-Identification-Of-Carcinogenic-Hazards-To-Humans/Red-Meat-And-Processed-Meat-2018</vt:lpwstr>
      </vt:variant>
      <vt:variant>
        <vt:lpwstr/>
      </vt:variant>
      <vt:variant>
        <vt:i4>196621</vt:i4>
      </vt:variant>
      <vt:variant>
        <vt:i4>30</vt:i4>
      </vt:variant>
      <vt:variant>
        <vt:i4>0</vt:i4>
      </vt:variant>
      <vt:variant>
        <vt:i4>5</vt:i4>
      </vt:variant>
      <vt:variant>
        <vt:lpwstr>https://www.nzip.cz/clanek/453-rakovina-tlusteho-streva-a-konecniku-prevence</vt:lpwstr>
      </vt:variant>
      <vt:variant>
        <vt:lpwstr/>
      </vt:variant>
      <vt:variant>
        <vt:i4>5242908</vt:i4>
      </vt:variant>
      <vt:variant>
        <vt:i4>27</vt:i4>
      </vt:variant>
      <vt:variant>
        <vt:i4>0</vt:i4>
      </vt:variant>
      <vt:variant>
        <vt:i4>5</vt:i4>
      </vt:variant>
      <vt:variant>
        <vt:lpwstr>http://www.wcrf.org/risk-factors/meat-fish-dairy-and-cancer-risk/</vt:lpwstr>
      </vt:variant>
      <vt:variant>
        <vt:lpwstr/>
      </vt:variant>
      <vt:variant>
        <vt:i4>4587538</vt:i4>
      </vt:variant>
      <vt:variant>
        <vt:i4>24</vt:i4>
      </vt:variant>
      <vt:variant>
        <vt:i4>0</vt:i4>
      </vt:variant>
      <vt:variant>
        <vt:i4>5</vt:i4>
      </vt:variant>
      <vt:variant>
        <vt:lpwstr>https://www.escardio.org/Education/ESC-Prevention-of-CVD-Programme/Treatment-goals/Risk-factor-control/nutrition</vt:lpwstr>
      </vt:variant>
      <vt:variant>
        <vt:lpwstr/>
      </vt:variant>
      <vt:variant>
        <vt:i4>8061049</vt:i4>
      </vt:variant>
      <vt:variant>
        <vt:i4>21</vt:i4>
      </vt:variant>
      <vt:variant>
        <vt:i4>0</vt:i4>
      </vt:variant>
      <vt:variant>
        <vt:i4>5</vt:i4>
      </vt:variant>
      <vt:variant>
        <vt:lpwstr>https://www.nzip.cz/clanek/347-stravovani-a-kardiovaskularni-nemoci</vt:lpwstr>
      </vt:variant>
      <vt:variant>
        <vt:lpwstr/>
      </vt:variant>
      <vt:variant>
        <vt:i4>589838</vt:i4>
      </vt:variant>
      <vt:variant>
        <vt:i4>18</vt:i4>
      </vt:variant>
      <vt:variant>
        <vt:i4>0</vt:i4>
      </vt:variant>
      <vt:variant>
        <vt:i4>5</vt:i4>
      </vt:variant>
      <vt:variant>
        <vt:lpwstr>https://mze.gov.cz/public/portal/mze/zemedelstvi/rostlinna-vyroba/sezonni-kalendar-ovoce-zeleniny-a-brambor-2</vt:lpwstr>
      </vt:variant>
      <vt:variant>
        <vt:lpwstr/>
      </vt:variant>
      <vt:variant>
        <vt:i4>6881381</vt:i4>
      </vt:variant>
      <vt:variant>
        <vt:i4>15</vt:i4>
      </vt:variant>
      <vt:variant>
        <vt:i4>0</vt:i4>
      </vt:variant>
      <vt:variant>
        <vt:i4>5</vt:i4>
      </vt:variant>
      <vt:variant>
        <vt:lpwstr>http://www.eagri.cz/rep</vt:lpwstr>
      </vt:variant>
      <vt:variant>
        <vt:lpwstr/>
      </vt:variant>
      <vt:variant>
        <vt:i4>3473534</vt:i4>
      </vt:variant>
      <vt:variant>
        <vt:i4>12</vt:i4>
      </vt:variant>
      <vt:variant>
        <vt:i4>0</vt:i4>
      </vt:variant>
      <vt:variant>
        <vt:i4>5</vt:i4>
      </vt:variant>
      <vt:variant>
        <vt:lpwstr>https://kde.lovime.bio/</vt:lpwstr>
      </vt:variant>
      <vt:variant>
        <vt:lpwstr/>
      </vt:variant>
      <vt:variant>
        <vt:i4>2424873</vt:i4>
      </vt:variant>
      <vt:variant>
        <vt:i4>9</vt:i4>
      </vt:variant>
      <vt:variant>
        <vt:i4>0</vt:i4>
      </vt:variant>
      <vt:variant>
        <vt:i4>5</vt:i4>
      </vt:variant>
      <vt:variant>
        <vt:lpwstr>https://myjsmebio.gov.cz/aktuality/a/biopotraviny-miri-do-verejneho-stravovani-vetsina-cechu-zmenu-vita</vt:lpwstr>
      </vt:variant>
      <vt:variant>
        <vt:lpwstr/>
      </vt:variant>
      <vt:variant>
        <vt:i4>5111828</vt:i4>
      </vt:variant>
      <vt:variant>
        <vt:i4>6</vt:i4>
      </vt:variant>
      <vt:variant>
        <vt:i4>0</vt:i4>
      </vt:variant>
      <vt:variant>
        <vt:i4>5</vt:i4>
      </vt:variant>
      <vt:variant>
        <vt:lpwstr>https://vyhledavac.nssoud.cz/DokumentOriginal/Html/717225</vt:lpwstr>
      </vt:variant>
      <vt:variant>
        <vt:lpwstr/>
      </vt:variant>
      <vt:variant>
        <vt:i4>5177364</vt:i4>
      </vt:variant>
      <vt:variant>
        <vt:i4>3</vt:i4>
      </vt:variant>
      <vt:variant>
        <vt:i4>0</vt:i4>
      </vt:variant>
      <vt:variant>
        <vt:i4>5</vt:i4>
      </vt:variant>
      <vt:variant>
        <vt:lpwstr>https://vyhledavac.nssoud.cz/DokumentOriginal/Html/736022</vt:lpwstr>
      </vt:variant>
      <vt:variant>
        <vt:lpwstr/>
      </vt:variant>
      <vt:variant>
        <vt:i4>2097188</vt:i4>
      </vt:variant>
      <vt:variant>
        <vt:i4>0</vt:i4>
      </vt:variant>
      <vt:variant>
        <vt:i4>0</vt:i4>
      </vt:variant>
      <vt:variant>
        <vt:i4>5</vt:i4>
      </vt:variant>
      <vt:variant>
        <vt:lpwstr>https://eur-lex.europa.eu/legal-content/CS/TXT/HTML/?uri=CELEX:62018CJ0395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Jechová Libuše</dc:creator>
  <cp:keywords/>
  <cp:lastModifiedBy>Kálalová Alžběta</cp:lastModifiedBy>
  <cp:revision>2</cp:revision>
  <cp:lastPrinted>2023-11-30T23:05:00Z</cp:lastPrinted>
  <dcterms:created xsi:type="dcterms:W3CDTF">2025-06-30T09:45:00Z</dcterms:created>
  <dcterms:modified xsi:type="dcterms:W3CDTF">2025-06-30T09:45:00Z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MMR-81370/2023-89</vt:lpwstr>
  </property>
  <property fmtid="{D5CDD505-2E9C-101B-9397-08002B2CF9AE}" pid="5" name="CJ_PostaDoruc_PisemnostOdpovedNa_Pisemnost">
    <vt:lpwstr>XXX-XXX-XXX</vt:lpwstr>
  </property>
  <property fmtid="{D5CDD505-2E9C-101B-9397-08002B2CF9AE}" pid="6" name="CJ_Spis_Pisemnost">
    <vt:lpwstr>CJ/SPIS/ROK</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29.11.2023</vt:lpwstr>
  </property>
  <property fmtid="{D5CDD505-2E9C-101B-9397-08002B2CF9AE}" pid="12" name="DisplayName_CisloObalky_PostaOdes">
    <vt:lpwstr>ČÍSLO OBÁLKY</vt:lpwstr>
  </property>
  <property fmtid="{D5CDD505-2E9C-101B-9397-08002B2CF9AE}" pid="13" name="DisplayName_CJCol">
    <vt:lpwstr>&lt;TABLE&gt;&lt;TR&gt;&lt;TD&gt;Č.j.:&lt;/TD&gt;&lt;TD&gt;MMR-81370/2023-89&lt;/TD&gt;&lt;/TR&gt;&lt;TR&gt;&lt;TD&gt;&lt;/TD&gt;&lt;TD&gt;&lt;/TD&gt;&lt;/TR&gt;&lt;/TABLE&gt;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veřejného investování výstavby a sociálního začleňování</vt:lpwstr>
  </property>
  <property fmtid="{D5CDD505-2E9C-101B-9397-08002B2CF9AE}" pid="16" name="DisplayName_UserPoriz_Pisemnost">
    <vt:lpwstr>Mgr. Marie Janečková</vt:lpwstr>
  </property>
  <property fmtid="{D5CDD505-2E9C-101B-9397-08002B2CF9AE}" pid="17" name="DuvodZmeny_SlozkaStupenUtajeniCollection_Slozka_Pisemnost">
    <vt:lpwstr/>
  </property>
  <property fmtid="{D5CDD505-2E9C-101B-9397-08002B2CF9AE}" pid="18" name="EC_Pisemnost">
    <vt:lpwstr>E84916/23/MMR</vt:lpwstr>
  </property>
  <property fmtid="{D5CDD505-2E9C-101B-9397-08002B2CF9AE}" pid="19" name="Key_BarCode_Pisemnost">
    <vt:lpwstr>*B003431138*</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E84916/23/MMR</vt:lpwstr>
  </property>
  <property fmtid="{D5CDD505-2E9C-101B-9397-08002B2CF9AE}" pid="33" name="RC">
    <vt:lpwstr/>
  </property>
  <property fmtid="{D5CDD505-2E9C-101B-9397-08002B2CF9AE}" pid="34" name="SkartacniZnakLhuta_PisemnostZnak">
    <vt:lpwstr>?/?</vt:lpwstr>
  </property>
  <property fmtid="{D5CDD505-2E9C-101B-9397-08002B2CF9AE}" pid="35" name="SmlouvaCislo">
    <vt:lpwstr>ČÍSLO SMLOUVY</vt:lpwstr>
  </property>
  <property fmtid="{D5CDD505-2E9C-101B-9397-08002B2CF9AE}" pid="36" name="SZ_Spis_Pisemnost">
    <vt:lpwstr>ZZZ-ZZZ-ZZZ</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Předložení Strategie veřejného zadávání ČR do MPŘ</vt:lpwstr>
  </property>
  <property fmtid="{D5CDD505-2E9C-101B-9397-08002B2CF9AE}" pid="41" name="Zkratka_SpisovyUzel_PoziceZodpo_Pisemnost">
    <vt:lpwstr>5</vt:lpwstr>
  </property>
  <property fmtid="{D5CDD505-2E9C-101B-9397-08002B2CF9AE}" pid="42" name="ContentTypeId">
    <vt:lpwstr>0x0101007902385C3B5A254CBD327BF70AB46767</vt:lpwstr>
  </property>
  <property fmtid="{D5CDD505-2E9C-101B-9397-08002B2CF9AE}" pid="43" name="MediaServiceImageTags">
    <vt:lpwstr/>
  </property>
</Properties>
</file>