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D7A8" w14:textId="6B6F3A5B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sz w:val="28"/>
          <w:szCs w:val="28"/>
        </w:rPr>
        <w:t>Minimální standard</w:t>
      </w:r>
      <w:r w:rsidR="00F22492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762D83BB">
        <w:rPr>
          <w:rFonts w:ascii="Calibri" w:eastAsia="Calibri" w:hAnsi="Calibri" w:cs="Calibri"/>
          <w:b/>
          <w:bCs/>
          <w:sz w:val="28"/>
          <w:szCs w:val="28"/>
        </w:rPr>
        <w:t xml:space="preserve"> odpovědného veřejného zadávání pro stavebnictví</w:t>
      </w:r>
    </w:p>
    <w:p w14:paraId="7A9002FF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sz w:val="28"/>
          <w:szCs w:val="28"/>
        </w:rPr>
        <w:t xml:space="preserve">Podtitul: Sociálně odpovědné veřejné zadávání </w:t>
      </w:r>
    </w:p>
    <w:p w14:paraId="01CFEEF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10F5D2A" w14:textId="77777777" w:rsidR="008A32C6" w:rsidRDefault="008A32C6" w:rsidP="008A32C6">
      <w:pPr>
        <w:tabs>
          <w:tab w:val="left" w:pos="567"/>
        </w:tabs>
        <w:spacing w:after="0"/>
      </w:pPr>
      <w:r w:rsidRPr="762D83BB">
        <w:rPr>
          <w:rFonts w:ascii="Calibri" w:eastAsia="Calibri" w:hAnsi="Calibri" w:cs="Calibri"/>
          <w:color w:val="000000" w:themeColor="text1"/>
        </w:rPr>
        <w:t>Minimální standardy OVZ:</w:t>
      </w:r>
    </w:p>
    <w:p w14:paraId="6575C92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color w:val="000000" w:themeColor="text1"/>
        </w:rPr>
        <w:t>1. Zajištění důstojných pracovních podmínek ve vztahu k dodržování právních předpisů s důrazem na pracovněprávní předpisy</w:t>
      </w:r>
    </w:p>
    <w:p w14:paraId="72B2FD83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color w:val="000000" w:themeColor="text1"/>
        </w:rPr>
        <w:t>2. Férové podmínky v dodavatelském řetězci ve vztahu k zajištění včasných plateb poddodavatelům</w:t>
      </w:r>
    </w:p>
    <w:p w14:paraId="57B47FB4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color w:val="000000" w:themeColor="text1"/>
        </w:rPr>
        <w:t>3. Podpora cashflow do poddodavatelského řetězce</w:t>
      </w:r>
    </w:p>
    <w:p w14:paraId="4293F2A2" w14:textId="77777777" w:rsidR="008A32C6" w:rsidRDefault="008A32C6" w:rsidP="008A32C6">
      <w:pPr>
        <w:spacing w:after="0" w:line="257" w:lineRule="auto"/>
      </w:pPr>
      <w:r w:rsidRPr="762D83BB">
        <w:rPr>
          <w:rFonts w:ascii="Calibri" w:eastAsia="Calibri" w:hAnsi="Calibri" w:cs="Calibri"/>
          <w:color w:val="000000" w:themeColor="text1"/>
        </w:rPr>
        <w:t xml:space="preserve"> </w:t>
      </w:r>
    </w:p>
    <w:p w14:paraId="40D00D50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color w:val="000000" w:themeColor="text1"/>
        </w:rPr>
        <w:t>1. Zajištění důstojných pracovních podmínek ve vztahu k dodržování právních předpisů s důrazem na pracovněprávní předpisy</w:t>
      </w:r>
    </w:p>
    <w:p w14:paraId="089B9573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53C11905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b/>
          <w:bCs/>
        </w:rPr>
        <w:t>Dodržování právních předpisů se zvláštním ohledem na předpisy pracovněprávní a právní předpisy v oblasti BOZP. Povinnost dodržovat pracovně právní předpisy, předpisy v oblasti zaměstnanosti a předpisy v oblasti bezpečnosti práce vůči všem pracovníkům na stavbě (ti mají povolení k pobytu v ČR a jsou vedeni v příslušných registrech).</w:t>
      </w:r>
    </w:p>
    <w:p w14:paraId="31E9B028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6D17B21D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>Standard bude v zadávacích podmínkách proveden prostřednictvím smluvních ustanovení. Konkrétně bude dodavatel, se kterým bude uzavřena smlouva, povinen zajistit po celou dobu jejího plnění dodržování povinnosti vyplývající pro něj z právních předpisů České republiky vůči všem osobám podílejícím se na plnění této smlouvy, zejména pak předpisů z oblasti pracovněprávní, oblasti zaměstnanosti a bezpečnosti a ochrany zdraví při práci.</w:t>
      </w:r>
    </w:p>
    <w:p w14:paraId="4118FC98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769F2902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>Srovnatelné povinnosti bude dodavatel, se kterým bude uzavřena smlouva, povinen přenést i do smluv se svými poddodavateli a ti pak dále v poddodavatelském řetězci.</w:t>
      </w:r>
    </w:p>
    <w:p w14:paraId="52F5311B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369AA8F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u w:val="single"/>
        </w:rPr>
        <w:t>Ověření v zadávacím řízení</w:t>
      </w:r>
      <w:r w:rsidRPr="762D83BB">
        <w:rPr>
          <w:rFonts w:ascii="Calibri" w:eastAsia="Calibri" w:hAnsi="Calibri" w:cs="Calibri"/>
        </w:rPr>
        <w:t xml:space="preserve">: podáním nabídky akceptuje účastník smluvní podmínky, kde budou předmětné povinnosti upraveny </w:t>
      </w:r>
    </w:p>
    <w:p w14:paraId="27C0E9F2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EDBB305" w14:textId="77777777" w:rsidR="008A32C6" w:rsidRDefault="008A32C6" w:rsidP="008A32C6">
      <w:pPr>
        <w:spacing w:after="0"/>
      </w:pPr>
      <w:r w:rsidRPr="211FD595">
        <w:rPr>
          <w:rFonts w:ascii="Calibri" w:eastAsia="Calibri" w:hAnsi="Calibri" w:cs="Calibri"/>
          <w:b/>
          <w:bCs/>
          <w:u w:val="single"/>
        </w:rPr>
        <w:t>Ověření v průběhu plnění</w:t>
      </w:r>
      <w:r w:rsidRPr="211FD595">
        <w:rPr>
          <w:rFonts w:ascii="Calibri" w:eastAsia="Calibri" w:hAnsi="Calibri" w:cs="Calibri"/>
        </w:rPr>
        <w:t xml:space="preserve">: Ověření spočívá v obecné kontrole provádění stavebních prací (díla), která je obvyklá v rámci každé veřejné zakázky na stavební práce. Kontrolu je vhodné přenést na TDI a případně, u větších staveb, také na koordinátora BOZP.   </w:t>
      </w:r>
    </w:p>
    <w:p w14:paraId="3D6F92F2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7C65165E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4D1806CA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</w:rPr>
        <w:t>2. Férové podmínky v dodavatelském řetězci</w:t>
      </w:r>
      <w:r w:rsidRPr="762D83BB">
        <w:rPr>
          <w:rFonts w:ascii="Calibri" w:eastAsia="Calibri" w:hAnsi="Calibri" w:cs="Calibri"/>
          <w:b/>
          <w:bCs/>
          <w:color w:val="FF0000"/>
        </w:rPr>
        <w:t xml:space="preserve"> </w:t>
      </w:r>
      <w:r w:rsidRPr="762D83BB">
        <w:rPr>
          <w:rFonts w:ascii="Calibri" w:eastAsia="Calibri" w:hAnsi="Calibri" w:cs="Calibri"/>
          <w:b/>
          <w:bCs/>
          <w:color w:val="000000" w:themeColor="text1"/>
        </w:rPr>
        <w:t>ve vztahu k zajištění včasných plateb poddodavatelům</w:t>
      </w:r>
    </w:p>
    <w:p w14:paraId="2DC949ED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1E25DB12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</w:rPr>
        <w:t>Zajištění stejné délky splatnosti přímým poddodavatelům generálního dodavatele jako je délka splatnosti zadavatele vůči generálnímu dodavateli, tj. max. 30 kalendářních dnů a přenesení stejné délky splatnosti do celého poddodavatelského řetězce.</w:t>
      </w:r>
    </w:p>
    <w:p w14:paraId="2D521071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</w:rPr>
        <w:t xml:space="preserve"> </w:t>
      </w:r>
    </w:p>
    <w:p w14:paraId="404D7CCB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77B944FE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Standard bude v zadávacích podmínkách proveden prostřednictvím smluvních ustanovení. Délka splatnosti je navázána na délku splatnosti sjednanou mezi zadavatelem a generálním dodavatelem, která v souladu se „standardem 3. Podpora cashflow do poddodavatelského řetězce“, viz níže, činí 30 </w:t>
      </w:r>
      <w:r w:rsidRPr="762D83BB">
        <w:rPr>
          <w:rFonts w:ascii="Calibri" w:eastAsia="Calibri" w:hAnsi="Calibri" w:cs="Calibri"/>
        </w:rPr>
        <w:lastRenderedPageBreak/>
        <w:t xml:space="preserve">kalendářních dnů. Generální dodavatel pak bude mít povinnost nejen zajistit včasné platby svým přímým poddodavatelům, ale bude také zavázán přenést tuto povinnost do smluv se svými přímými poddodavateli a zavázat je, aby tak učinili i dále v dodavatelském řetězci. Tím budou zajištěny férové, rovné platební podmínky v celém dodavatelském řetězci. </w:t>
      </w:r>
    </w:p>
    <w:p w14:paraId="1998CEE5" w14:textId="77777777" w:rsidR="008A32C6" w:rsidRDefault="008A32C6" w:rsidP="008A32C6">
      <w:pPr>
        <w:pStyle w:val="Nadpis5"/>
        <w:spacing w:before="0" w:after="0"/>
        <w:jc w:val="both"/>
      </w:pPr>
      <w:r w:rsidRPr="762D83BB">
        <w:rPr>
          <w:rFonts w:ascii="Calibri" w:eastAsia="Calibri" w:hAnsi="Calibri" w:cs="Calibri"/>
          <w:caps/>
          <w:color w:val="5B9BD5"/>
          <w:sz w:val="22"/>
          <w:szCs w:val="22"/>
        </w:rPr>
        <w:t xml:space="preserve"> </w:t>
      </w:r>
    </w:p>
    <w:p w14:paraId="1645DC2B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>Konkrétně bude dodavatel, se kterým bude uzavřena smlouva, povinen zajistit po celou dobu jejího plnění</w:t>
      </w:r>
    </w:p>
    <w:p w14:paraId="111C2136" w14:textId="77777777" w:rsidR="008A32C6" w:rsidRDefault="008A32C6" w:rsidP="008A32C6">
      <w:pPr>
        <w:pStyle w:val="Odstavecseseznamem"/>
        <w:numPr>
          <w:ilvl w:val="0"/>
          <w:numId w:val="47"/>
        </w:numPr>
        <w:spacing w:after="0" w:line="279" w:lineRule="auto"/>
        <w:jc w:val="both"/>
        <w:rPr>
          <w:rFonts w:ascii="Calibri" w:eastAsia="Calibri" w:hAnsi="Calibri" w:cs="Calibri"/>
        </w:rPr>
      </w:pPr>
      <w:r w:rsidRPr="762D83BB">
        <w:rPr>
          <w:rFonts w:ascii="Calibri" w:eastAsia="Calibri" w:hAnsi="Calibri" w:cs="Calibri"/>
        </w:rPr>
        <w:t>sjednání ve smlouvách s poddodavateli splatnost faktur v délce nepřesahující délku lhůty splatnosti vyplývající z této smlouvy mezi objednatelem a zhotovitelem (tedy max. 30 kalendářních dnů) a</w:t>
      </w:r>
    </w:p>
    <w:p w14:paraId="7F32C1F2" w14:textId="77777777" w:rsidR="008A32C6" w:rsidRDefault="008A32C6" w:rsidP="008A32C6">
      <w:pPr>
        <w:pStyle w:val="Odstavecseseznamem"/>
        <w:numPr>
          <w:ilvl w:val="0"/>
          <w:numId w:val="47"/>
        </w:numPr>
        <w:spacing w:after="0" w:line="279" w:lineRule="auto"/>
        <w:jc w:val="both"/>
        <w:rPr>
          <w:rFonts w:ascii="Calibri" w:eastAsia="Calibri" w:hAnsi="Calibri" w:cs="Calibri"/>
        </w:rPr>
      </w:pPr>
      <w:r w:rsidRPr="762D83BB">
        <w:rPr>
          <w:rFonts w:ascii="Calibri" w:eastAsia="Calibri" w:hAnsi="Calibri" w:cs="Calibri"/>
        </w:rPr>
        <w:t>řádné a včasné plnění svých závazků poddodavatelům.</w:t>
      </w:r>
    </w:p>
    <w:p w14:paraId="59475CFE" w14:textId="77777777" w:rsidR="008A32C6" w:rsidRDefault="008A32C6" w:rsidP="008A32C6">
      <w:pPr>
        <w:spacing w:after="0"/>
        <w:ind w:left="72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21C774AF" w14:textId="77777777" w:rsidR="008A32C6" w:rsidRDefault="008A32C6" w:rsidP="008A32C6">
      <w:pPr>
        <w:pStyle w:val="Nadpis5"/>
        <w:spacing w:before="0" w:after="0"/>
        <w:jc w:val="both"/>
      </w:pPr>
      <w:r w:rsidRPr="762D83BB">
        <w:rPr>
          <w:rFonts w:ascii="Calibri" w:eastAsia="Calibri" w:hAnsi="Calibri" w:cs="Calibri"/>
          <w:color w:val="000000" w:themeColor="text1"/>
          <w:sz w:val="22"/>
          <w:szCs w:val="22"/>
        </w:rPr>
        <w:t>Srovnatelné povinnosti bude dodavatel, se kterým bude uzavřena smlouva, povinen přenést i do smluv se svými poddodavateli a ti pak dále v poddodavatelském řetězci.</w:t>
      </w:r>
      <w:r w:rsidRPr="762D83BB">
        <w:rPr>
          <w:rFonts w:ascii="Calibri" w:eastAsia="Calibri" w:hAnsi="Calibri" w:cs="Calibri"/>
          <w:caps/>
          <w:color w:val="000000" w:themeColor="text1"/>
          <w:sz w:val="22"/>
          <w:szCs w:val="22"/>
        </w:rPr>
        <w:t xml:space="preserve"> </w:t>
      </w:r>
    </w:p>
    <w:p w14:paraId="7BD43370" w14:textId="77777777" w:rsidR="008A32C6" w:rsidRDefault="008A32C6" w:rsidP="008A32C6">
      <w:pPr>
        <w:spacing w:line="257" w:lineRule="auto"/>
      </w:pPr>
      <w:r w:rsidRPr="762D83BB">
        <w:rPr>
          <w:rFonts w:ascii="Calibri" w:eastAsia="Calibri" w:hAnsi="Calibri" w:cs="Calibri"/>
        </w:rPr>
        <w:t xml:space="preserve"> </w:t>
      </w:r>
    </w:p>
    <w:p w14:paraId="16C65609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u w:val="single"/>
        </w:rPr>
        <w:t>Ověření v zadávacím řízení</w:t>
      </w:r>
      <w:r w:rsidRPr="762D83BB">
        <w:rPr>
          <w:rFonts w:ascii="Calibri" w:eastAsia="Calibri" w:hAnsi="Calibri" w:cs="Calibri"/>
        </w:rPr>
        <w:t xml:space="preserve">: podáním nabídky akceptuje účastník smluvní podmínky, kde budou předmětné povinnosti upraveny  </w:t>
      </w:r>
    </w:p>
    <w:p w14:paraId="51DF64F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023165CC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b/>
          <w:bCs/>
          <w:u w:val="single"/>
        </w:rPr>
        <w:t>Ověření v průběhu plnění</w:t>
      </w:r>
      <w:r w:rsidRPr="762D83BB">
        <w:rPr>
          <w:rFonts w:ascii="Calibri" w:eastAsia="Calibri" w:hAnsi="Calibri" w:cs="Calibri"/>
        </w:rPr>
        <w:t xml:space="preserve">: zadavatel si může nechat předložit poddodavatelské smlouvy k posouzení, s ohledem na případnou mlčenlivost ve smlouvách může zadavatel akceptovat předložení: </w:t>
      </w:r>
    </w:p>
    <w:p w14:paraId="3C1B0592" w14:textId="77777777" w:rsidR="008A32C6" w:rsidRDefault="008A32C6" w:rsidP="008A32C6">
      <w:pPr>
        <w:pStyle w:val="Odstavecseseznamem"/>
        <w:numPr>
          <w:ilvl w:val="0"/>
          <w:numId w:val="46"/>
        </w:numPr>
        <w:spacing w:after="0" w:line="279" w:lineRule="auto"/>
        <w:jc w:val="both"/>
        <w:rPr>
          <w:rFonts w:ascii="Calibri" w:eastAsia="Calibri" w:hAnsi="Calibri" w:cs="Calibri"/>
        </w:rPr>
      </w:pPr>
      <w:r w:rsidRPr="762D83BB">
        <w:rPr>
          <w:rFonts w:ascii="Calibri" w:eastAsia="Calibri" w:hAnsi="Calibri" w:cs="Calibri"/>
        </w:rPr>
        <w:t xml:space="preserve">první strany smlouvy s identifikací smluvních stran, </w:t>
      </w:r>
    </w:p>
    <w:p w14:paraId="73B1904C" w14:textId="77777777" w:rsidR="008A32C6" w:rsidRDefault="008A32C6" w:rsidP="008A32C6">
      <w:pPr>
        <w:pStyle w:val="Odstavecseseznamem"/>
        <w:numPr>
          <w:ilvl w:val="0"/>
          <w:numId w:val="46"/>
        </w:numPr>
        <w:spacing w:after="0" w:line="279" w:lineRule="auto"/>
        <w:jc w:val="both"/>
        <w:rPr>
          <w:rFonts w:ascii="Calibri" w:eastAsia="Calibri" w:hAnsi="Calibri" w:cs="Calibri"/>
        </w:rPr>
      </w:pPr>
      <w:r w:rsidRPr="762D83BB">
        <w:rPr>
          <w:rFonts w:ascii="Calibri" w:eastAsia="Calibri" w:hAnsi="Calibri" w:cs="Calibri"/>
        </w:rPr>
        <w:t xml:space="preserve">stran smlouvy s platebními podmínkami a </w:t>
      </w:r>
    </w:p>
    <w:p w14:paraId="7DF9B7C8" w14:textId="77777777" w:rsidR="008A32C6" w:rsidRDefault="008A32C6" w:rsidP="008A32C6">
      <w:pPr>
        <w:pStyle w:val="Odstavecseseznamem"/>
        <w:numPr>
          <w:ilvl w:val="0"/>
          <w:numId w:val="46"/>
        </w:numPr>
        <w:spacing w:after="0" w:line="279" w:lineRule="auto"/>
        <w:jc w:val="both"/>
        <w:rPr>
          <w:rFonts w:ascii="Calibri" w:eastAsia="Calibri" w:hAnsi="Calibri" w:cs="Calibri"/>
        </w:rPr>
      </w:pPr>
      <w:r w:rsidRPr="762D83BB">
        <w:rPr>
          <w:rFonts w:ascii="Calibri" w:eastAsia="Calibri" w:hAnsi="Calibri" w:cs="Calibri"/>
        </w:rPr>
        <w:t>poslední strany smlouvy s podpisy.</w:t>
      </w:r>
    </w:p>
    <w:p w14:paraId="700C5D61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5673778" w14:textId="77777777" w:rsidR="008A32C6" w:rsidRDefault="008A32C6" w:rsidP="008A32C6">
      <w:pPr>
        <w:spacing w:after="0"/>
      </w:pPr>
      <w:r w:rsidRPr="2347D716">
        <w:rPr>
          <w:rFonts w:ascii="Calibri" w:eastAsia="Calibri" w:hAnsi="Calibri" w:cs="Calibri"/>
          <w:b/>
          <w:bCs/>
        </w:rPr>
        <w:t>3. Podpora cashflow do poddodavatelského řetězce</w:t>
      </w:r>
    </w:p>
    <w:p w14:paraId="03C7B95C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201EABD5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b/>
          <w:bCs/>
        </w:rPr>
        <w:t xml:space="preserve">Zadavatel stanoví splatnost v délce maximálně 30 kalendářních dnů. </w:t>
      </w:r>
    </w:p>
    <w:p w14:paraId="53B2C0B3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0B978752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</w:rPr>
        <w:t>Je požadována splatnost v délce maximálně 30 kalendářních dnů, lze ji však dle potřeby i zkrátit (nikoliv však prodloužit).</w:t>
      </w:r>
    </w:p>
    <w:p w14:paraId="4F2F04AB" w14:textId="77777777" w:rsidR="008A32C6" w:rsidRDefault="008A32C6" w:rsidP="008A32C6">
      <w:pPr>
        <w:spacing w:after="0"/>
        <w:ind w:left="360"/>
        <w:jc w:val="both"/>
      </w:pPr>
      <w:r w:rsidRPr="762D83BB">
        <w:rPr>
          <w:rFonts w:ascii="Calibri" w:eastAsia="Calibri" w:hAnsi="Calibri" w:cs="Calibri"/>
        </w:rPr>
        <w:t xml:space="preserve"> </w:t>
      </w:r>
    </w:p>
    <w:p w14:paraId="59D2F095" w14:textId="4073069D" w:rsidR="008A32C6" w:rsidRDefault="008A32C6" w:rsidP="008A32C6">
      <w:pPr>
        <w:spacing w:after="0"/>
        <w:jc w:val="both"/>
      </w:pPr>
      <w:r w:rsidRPr="2347D716">
        <w:rPr>
          <w:rFonts w:ascii="Calibri" w:eastAsia="Calibri" w:hAnsi="Calibri" w:cs="Calibri"/>
        </w:rPr>
        <w:t xml:space="preserve">Cílem tohoto standardu je omezit praxi zadavatelů sjednávajících lhůtu splatnosti přesahující nejen 30 kalendářních dnů, ale v některých případech i 60 kalendářních dnů. V takovém případě by totiž bylo nepřiměřené požadovat po generálním dodavateli, aby platil poddodavatelům ve lhůtě výrazně kratší, než jakou má sjednanou se zadavatelem (typicky v případě sjednání 60denní splatnosti v investorské smlouvě spojené s požadavkem na 30denní splatnost v poddodavatelských smlouvách). Nelze navíc vyloučit, že takové nastavení zadávacích podmínek by mohlo prodražit i plnění veřejných zakázek. Tento standard stanoví povinnost pro samotného zadavatele a je tak východiskem pro „standard 2. Férové podmínky v dodavatelském řetězci ve vztahu k včasným platbám“, viz výše. </w:t>
      </w:r>
    </w:p>
    <w:p w14:paraId="0C646384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024A7B33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b/>
          <w:bCs/>
          <w:u w:val="single"/>
        </w:rPr>
        <w:t>Ověření v zadávacím řízení</w:t>
      </w:r>
      <w:r w:rsidRPr="762D83BB">
        <w:rPr>
          <w:rFonts w:ascii="Calibri" w:eastAsia="Calibri" w:hAnsi="Calibri" w:cs="Calibri"/>
        </w:rPr>
        <w:t>: není relevantní (jedná se o povinnost stanovenou zadavateli)</w:t>
      </w:r>
    </w:p>
    <w:p w14:paraId="7E650880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05040074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b/>
          <w:bCs/>
          <w:u w:val="single"/>
        </w:rPr>
        <w:t>Ověření v průběhu plnění</w:t>
      </w:r>
      <w:r w:rsidRPr="762D83BB">
        <w:rPr>
          <w:rFonts w:ascii="Calibri" w:eastAsia="Calibri" w:hAnsi="Calibri" w:cs="Calibri"/>
        </w:rPr>
        <w:t>: není relevantní (jedná se o povinnost stanovenou zadavateli)</w:t>
      </w:r>
    </w:p>
    <w:p w14:paraId="0592268E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52DDC2D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088A738" w14:textId="77777777" w:rsidR="008A32C6" w:rsidRDefault="008A32C6" w:rsidP="008A32C6">
      <w:r w:rsidRPr="762D83BB">
        <w:rPr>
          <w:rFonts w:ascii="Calibri" w:eastAsia="Calibri" w:hAnsi="Calibri" w:cs="Calibri"/>
          <w:b/>
          <w:bCs/>
          <w:i/>
          <w:iCs/>
        </w:rPr>
        <w:lastRenderedPageBreak/>
        <w:t>Doporučená textace do zadávací dokumentace a do smlouvy</w:t>
      </w:r>
    </w:p>
    <w:tbl>
      <w:tblPr>
        <w:tblStyle w:val="Mkatabulky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8777"/>
      </w:tblGrid>
      <w:tr w:rsidR="008A32C6" w14:paraId="07251123" w14:textId="77777777" w:rsidTr="00063468">
        <w:trPr>
          <w:trHeight w:val="1845"/>
        </w:trPr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3E583" w14:textId="77777777" w:rsidR="008A32C6" w:rsidRDefault="008A32C6" w:rsidP="00063468">
            <w:r w:rsidRPr="762D83BB">
              <w:rPr>
                <w:rFonts w:ascii="Calibri" w:eastAsia="Calibri" w:hAnsi="Calibri" w:cs="Calibri"/>
                <w:b/>
                <w:bCs/>
              </w:rPr>
              <w:t xml:space="preserve">DISCLAIMER: </w:t>
            </w:r>
          </w:p>
          <w:p w14:paraId="2008A816" w14:textId="77777777" w:rsidR="008A32C6" w:rsidRDefault="008A32C6" w:rsidP="00063468">
            <w:r w:rsidRPr="762D83BB">
              <w:rPr>
                <w:rFonts w:ascii="Calibri" w:eastAsia="Calibri" w:hAnsi="Calibri" w:cs="Calibri"/>
              </w:rPr>
              <w:t>Doporučené textace do zadávací dokumentace a do smlouvy nejsou závazné a je třeba, aby je zadavatel upravil dle vlastních potřeb. I když byly pečlivě promýšleny a zkontrolovány, nemůže Ministerstvo pro místní rozvoj přebírat odpovědnost v souvislosti s konkrétními případy, pro které budou tyto formulace využity. Konkrétní aplikaci ovlivňují specifika dané veřejné zakázky, případné novely relevantních právních předpisů, jakož i vývoj praxe kontrolních orgánů vč. ÚOHS, Evropské komise a Evropského soudního dvora.</w:t>
            </w:r>
          </w:p>
        </w:tc>
      </w:tr>
    </w:tbl>
    <w:p w14:paraId="340F2795" w14:textId="77777777" w:rsidR="008A32C6" w:rsidRDefault="008A32C6" w:rsidP="008A32C6">
      <w:r w:rsidRPr="762D83BB">
        <w:rPr>
          <w:rFonts w:ascii="Calibri" w:eastAsia="Calibri" w:hAnsi="Calibri" w:cs="Calibri"/>
        </w:rPr>
        <w:t xml:space="preserve"> </w:t>
      </w:r>
    </w:p>
    <w:p w14:paraId="446E5DFD" w14:textId="77777777" w:rsidR="008A32C6" w:rsidRDefault="008A32C6" w:rsidP="008A32C6">
      <w:r w:rsidRPr="762D83BB">
        <w:rPr>
          <w:rFonts w:ascii="Calibri" w:eastAsia="Calibri" w:hAnsi="Calibri" w:cs="Calibri"/>
          <w:b/>
          <w:bCs/>
          <w:i/>
          <w:iCs/>
        </w:rPr>
        <w:t>Doporučená textace do zadávací dokumentace:</w:t>
      </w:r>
    </w:p>
    <w:p w14:paraId="59188B19" w14:textId="4EB57984" w:rsidR="008A32C6" w:rsidRDefault="008A32C6" w:rsidP="008A32C6">
      <w:pPr>
        <w:spacing w:after="0"/>
      </w:pPr>
      <w:r>
        <w:rPr>
          <w:rFonts w:ascii="Calibri" w:eastAsia="Calibri" w:hAnsi="Calibri" w:cs="Calibri"/>
          <w:color w:val="000000" w:themeColor="text1"/>
        </w:rPr>
        <w:t xml:space="preserve">1. </w:t>
      </w:r>
      <w:r w:rsidRPr="762D83BB">
        <w:rPr>
          <w:rFonts w:ascii="Calibri" w:eastAsia="Calibri" w:hAnsi="Calibri" w:cs="Calibri"/>
          <w:color w:val="000000" w:themeColor="text1"/>
        </w:rPr>
        <w:t xml:space="preserve">Textace </w:t>
      </w:r>
      <w:r w:rsidR="00F808D7">
        <w:rPr>
          <w:rFonts w:ascii="Calibri" w:eastAsia="Calibri" w:hAnsi="Calibri" w:cs="Calibri"/>
          <w:color w:val="000000" w:themeColor="text1"/>
        </w:rPr>
        <w:t xml:space="preserve">k </w:t>
      </w:r>
      <w:r w:rsidRPr="762D83BB">
        <w:rPr>
          <w:rFonts w:ascii="Calibri" w:eastAsia="Calibri" w:hAnsi="Calibri" w:cs="Calibri"/>
          <w:color w:val="000000" w:themeColor="text1"/>
        </w:rPr>
        <w:t xml:space="preserve">zajištění důstojných pracovních podmínek ve vztahu k dodržování právních předpisů s důrazem na pracovněprávní předpisy </w:t>
      </w:r>
    </w:p>
    <w:p w14:paraId="1D9D3645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5F57F8CA" w14:textId="77777777" w:rsidR="008A32C6" w:rsidRDefault="008A32C6" w:rsidP="008A32C6">
      <w:pPr>
        <w:spacing w:after="0"/>
        <w:rPr>
          <w:rFonts w:ascii="Calibri" w:eastAsia="Calibri" w:hAnsi="Calibri" w:cs="Calibri"/>
          <w:i/>
          <w:iCs/>
        </w:rPr>
      </w:pPr>
      <w:r w:rsidRPr="2347D716">
        <w:rPr>
          <w:rFonts w:ascii="Calibri" w:eastAsia="Calibri" w:hAnsi="Calibri" w:cs="Calibri"/>
          <w:i/>
          <w:iCs/>
        </w:rPr>
        <w:t xml:space="preserve">Dodavatel, se kterým bude uzavřena smlouva, bude povinen zajistit po celou dobu jejího plnění dodržování veškerých právních předpisů České republiky s důrazem na legální zaměstnávání, spravedlivé odměňování a dodržování bezpečnosti a ochrany zdraví při práci. </w:t>
      </w:r>
    </w:p>
    <w:p w14:paraId="38ECFF90" w14:textId="77777777" w:rsidR="008A32C6" w:rsidRDefault="008A32C6" w:rsidP="008A32C6">
      <w:pPr>
        <w:spacing w:after="0"/>
        <w:rPr>
          <w:rFonts w:ascii="Calibri" w:eastAsia="Calibri" w:hAnsi="Calibri" w:cs="Calibri"/>
          <w:i/>
          <w:iCs/>
        </w:rPr>
      </w:pPr>
    </w:p>
    <w:p w14:paraId="13F561B0" w14:textId="3A382807" w:rsidR="008A32C6" w:rsidRDefault="00F808D7" w:rsidP="008A32C6">
      <w:pPr>
        <w:spacing w:after="0"/>
      </w:pPr>
      <w:r>
        <w:rPr>
          <w:rFonts w:ascii="Calibri" w:eastAsia="Calibri" w:hAnsi="Calibri" w:cs="Calibri"/>
          <w:color w:val="000000" w:themeColor="text1"/>
        </w:rPr>
        <w:t xml:space="preserve">2. </w:t>
      </w:r>
      <w:r w:rsidR="008A32C6">
        <w:rPr>
          <w:rFonts w:ascii="Calibri" w:eastAsia="Calibri" w:hAnsi="Calibri" w:cs="Calibri"/>
          <w:color w:val="000000" w:themeColor="text1"/>
        </w:rPr>
        <w:t xml:space="preserve">Textace </w:t>
      </w:r>
      <w:r>
        <w:rPr>
          <w:rFonts w:ascii="Calibri" w:eastAsia="Calibri" w:hAnsi="Calibri" w:cs="Calibri"/>
        </w:rPr>
        <w:t>k</w:t>
      </w:r>
      <w:r w:rsidR="008A32C6" w:rsidRPr="762D83BB">
        <w:rPr>
          <w:rFonts w:ascii="Calibri" w:eastAsia="Calibri" w:hAnsi="Calibri" w:cs="Calibri"/>
        </w:rPr>
        <w:t xml:space="preserve"> férovým podmínkám v dodavatelském řetězci</w:t>
      </w:r>
      <w:r w:rsidR="008A32C6" w:rsidRPr="762D83BB">
        <w:rPr>
          <w:rFonts w:ascii="Calibri" w:eastAsia="Calibri" w:hAnsi="Calibri" w:cs="Calibri"/>
          <w:color w:val="FF0000"/>
        </w:rPr>
        <w:t xml:space="preserve"> </w:t>
      </w:r>
      <w:r w:rsidR="008A32C6" w:rsidRPr="762D83BB">
        <w:rPr>
          <w:rFonts w:ascii="Calibri" w:eastAsia="Calibri" w:hAnsi="Calibri" w:cs="Calibri"/>
          <w:color w:val="000000" w:themeColor="text1"/>
        </w:rPr>
        <w:t>ve vztahu k zajištění včasných plateb poddodavatelům</w:t>
      </w:r>
    </w:p>
    <w:p w14:paraId="6A6A8822" w14:textId="77777777" w:rsidR="008A32C6" w:rsidRDefault="008A32C6" w:rsidP="008A32C6">
      <w:pPr>
        <w:spacing w:after="0"/>
        <w:rPr>
          <w:rFonts w:ascii="Calibri" w:eastAsia="Calibri" w:hAnsi="Calibri" w:cs="Calibri"/>
          <w:i/>
          <w:iCs/>
        </w:rPr>
      </w:pPr>
    </w:p>
    <w:p w14:paraId="3337B608" w14:textId="4CF04752" w:rsidR="008A32C6" w:rsidRDefault="008A32C6" w:rsidP="008A32C6">
      <w:pPr>
        <w:spacing w:after="0"/>
      </w:pPr>
      <w:r w:rsidRPr="2347D716">
        <w:rPr>
          <w:rFonts w:ascii="Calibri" w:eastAsia="Calibri" w:hAnsi="Calibri" w:cs="Calibri"/>
          <w:i/>
          <w:iCs/>
        </w:rPr>
        <w:t xml:space="preserve">Ve smlouvách se svými poddodavateli bude takový dodavatel povinen sjednat splatnost v délce nepřesahující délku lhůty splatnosti vyplývající z investorské smlouvy a dále zajistit řádné a včasné plnění svých finančních závazků poddodavatelům. Srovnatelné povinnosti bude dodavatel, se kterým bude uzavřena smlouva, povinen přenést i do smluv se svými poddodavateli a ti pak dále v poddodavatelském řetězci. Bližší podmínky této povinnosti jsou vymezeny zněním smlouvy. </w:t>
      </w:r>
    </w:p>
    <w:p w14:paraId="7B4F16E3" w14:textId="77777777" w:rsidR="008A32C6" w:rsidRDefault="008A32C6" w:rsidP="008A32C6">
      <w:r w:rsidRPr="762D83BB">
        <w:rPr>
          <w:rFonts w:ascii="Calibri" w:eastAsia="Calibri" w:hAnsi="Calibri" w:cs="Calibri"/>
          <w:i/>
          <w:iCs/>
        </w:rPr>
        <w:t xml:space="preserve"> </w:t>
      </w:r>
    </w:p>
    <w:p w14:paraId="242DF555" w14:textId="77777777" w:rsidR="008A32C6" w:rsidRDefault="008A32C6" w:rsidP="008A32C6">
      <w:pPr>
        <w:spacing w:line="257" w:lineRule="auto"/>
      </w:pPr>
      <w:r w:rsidRPr="762D83BB">
        <w:rPr>
          <w:rFonts w:ascii="Calibri" w:eastAsia="Calibri" w:hAnsi="Calibri" w:cs="Calibri"/>
          <w:b/>
          <w:bCs/>
          <w:i/>
          <w:iCs/>
        </w:rPr>
        <w:t>Doporučená textace do smlouvy:</w:t>
      </w:r>
    </w:p>
    <w:p w14:paraId="122982E4" w14:textId="6828C6AE" w:rsidR="008A32C6" w:rsidRDefault="00F808D7" w:rsidP="008A32C6">
      <w:pPr>
        <w:spacing w:after="0"/>
      </w:pPr>
      <w:r>
        <w:rPr>
          <w:rFonts w:ascii="Calibri" w:eastAsia="Calibri" w:hAnsi="Calibri" w:cs="Calibri"/>
          <w:color w:val="000000" w:themeColor="text1"/>
        </w:rPr>
        <w:t xml:space="preserve">1. a 2. </w:t>
      </w:r>
      <w:r w:rsidR="008A32C6" w:rsidRPr="762D83BB">
        <w:rPr>
          <w:rFonts w:ascii="Calibri" w:eastAsia="Calibri" w:hAnsi="Calibri" w:cs="Calibri"/>
          <w:color w:val="000000" w:themeColor="text1"/>
        </w:rPr>
        <w:t xml:space="preserve">Textace k zajištění důstojných pracovních podmínek ve vztahu k dodržování právních předpisů s důrazem na pracovněprávní předpisy a k </w:t>
      </w:r>
      <w:r w:rsidR="008A32C6" w:rsidRPr="762D83BB">
        <w:rPr>
          <w:rFonts w:ascii="Calibri" w:eastAsia="Calibri" w:hAnsi="Calibri" w:cs="Calibri"/>
        </w:rPr>
        <w:t>férovým podmínkám v dodavatelském řetězci</w:t>
      </w:r>
      <w:r w:rsidR="008A32C6" w:rsidRPr="762D83BB">
        <w:rPr>
          <w:rFonts w:ascii="Calibri" w:eastAsia="Calibri" w:hAnsi="Calibri" w:cs="Calibri"/>
          <w:color w:val="FF0000"/>
        </w:rPr>
        <w:t xml:space="preserve"> </w:t>
      </w:r>
      <w:r w:rsidR="008A32C6" w:rsidRPr="762D83BB">
        <w:rPr>
          <w:rFonts w:ascii="Calibri" w:eastAsia="Calibri" w:hAnsi="Calibri" w:cs="Calibri"/>
          <w:color w:val="000000" w:themeColor="text1"/>
        </w:rPr>
        <w:t>ve vztahu k zajištění včasných plateb poddodavatelům</w:t>
      </w:r>
      <w:r w:rsidR="008A32C6" w:rsidRPr="762D83BB">
        <w:rPr>
          <w:rFonts w:ascii="Calibri" w:eastAsia="Calibri" w:hAnsi="Calibri" w:cs="Calibri"/>
        </w:rPr>
        <w:t>:</w:t>
      </w:r>
    </w:p>
    <w:p w14:paraId="5D8F2377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75086BD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>Práva a povinnosti smluvních stran</w:t>
      </w:r>
    </w:p>
    <w:p w14:paraId="474DD9D3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10AA5357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>Zhotovitel se zavazuje</w:t>
      </w:r>
    </w:p>
    <w:p w14:paraId="714BE25B" w14:textId="77777777" w:rsidR="008A32C6" w:rsidRDefault="008A32C6" w:rsidP="008A32C6">
      <w:pPr>
        <w:pStyle w:val="Odstavecseseznamem"/>
        <w:numPr>
          <w:ilvl w:val="0"/>
          <w:numId w:val="45"/>
        </w:numPr>
        <w:spacing w:after="0" w:line="279" w:lineRule="auto"/>
        <w:jc w:val="both"/>
        <w:rPr>
          <w:rFonts w:ascii="Calibri" w:eastAsia="Calibri" w:hAnsi="Calibri" w:cs="Calibri"/>
          <w:i/>
          <w:iCs/>
        </w:rPr>
      </w:pPr>
      <w:r w:rsidRPr="762D83BB">
        <w:rPr>
          <w:rFonts w:ascii="Calibri" w:eastAsia="Calibri" w:hAnsi="Calibri" w:cs="Calibri"/>
          <w:i/>
          <w:iCs/>
        </w:rPr>
        <w:t>dodržovat povinnosti vyplývající pro něj z právních předpisů České republiky vůči všem osobám podílejícím se na plnění této smlouvy, zejména pak předpisů z oblasti pracovněprávní, oblasti zaměstnanosti a bezpečnosti a ochrany zdraví při práci,</w:t>
      </w:r>
    </w:p>
    <w:p w14:paraId="0737AE47" w14:textId="77777777" w:rsidR="008A32C6" w:rsidRDefault="008A32C6" w:rsidP="008A32C6">
      <w:pPr>
        <w:pStyle w:val="Odstavecseseznamem"/>
        <w:numPr>
          <w:ilvl w:val="0"/>
          <w:numId w:val="45"/>
        </w:numPr>
        <w:spacing w:after="0" w:line="279" w:lineRule="auto"/>
        <w:jc w:val="both"/>
        <w:rPr>
          <w:rFonts w:ascii="Calibri" w:eastAsia="Calibri" w:hAnsi="Calibri" w:cs="Calibri"/>
          <w:i/>
          <w:iCs/>
        </w:rPr>
      </w:pPr>
      <w:r w:rsidRPr="762D83BB">
        <w:rPr>
          <w:rFonts w:ascii="Calibri" w:eastAsia="Calibri" w:hAnsi="Calibri" w:cs="Calibri"/>
          <w:i/>
          <w:iCs/>
        </w:rPr>
        <w:t>sjednat ve smlouvách s poddodavateli splatnost faktur v délce nepřesahující délku lhůty splatnosti vyplývající z této smlouvy mezi objednatelem a zhotovitelem a</w:t>
      </w:r>
    </w:p>
    <w:p w14:paraId="7E259EF3" w14:textId="77777777" w:rsidR="008A32C6" w:rsidRDefault="008A32C6" w:rsidP="008A32C6">
      <w:pPr>
        <w:pStyle w:val="Odstavecseseznamem"/>
        <w:numPr>
          <w:ilvl w:val="0"/>
          <w:numId w:val="45"/>
        </w:numPr>
        <w:spacing w:after="0" w:line="279" w:lineRule="auto"/>
        <w:jc w:val="both"/>
        <w:rPr>
          <w:rFonts w:ascii="Calibri" w:eastAsia="Calibri" w:hAnsi="Calibri" w:cs="Calibri"/>
          <w:i/>
          <w:iCs/>
        </w:rPr>
      </w:pPr>
      <w:r w:rsidRPr="762D83BB">
        <w:rPr>
          <w:rFonts w:ascii="Calibri" w:eastAsia="Calibri" w:hAnsi="Calibri" w:cs="Calibri"/>
          <w:i/>
          <w:iCs/>
        </w:rPr>
        <w:t>řádně a včas plnit své závazky poddodavatelům.</w:t>
      </w:r>
    </w:p>
    <w:p w14:paraId="044FC339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 xml:space="preserve"> </w:t>
      </w:r>
    </w:p>
    <w:p w14:paraId="03010766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>Zhotovitel se dále zavazuje povinnosti uvedené v předchozím odstavci přenést do smluv se svými přímými poddodavateli a zavázat je k jejich přenesení i dále v dodavatelském řetězci.</w:t>
      </w:r>
    </w:p>
    <w:p w14:paraId="5985958A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lastRenderedPageBreak/>
        <w:t xml:space="preserve"> </w:t>
      </w:r>
    </w:p>
    <w:p w14:paraId="74C6C5E5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>Objednatel je oprávněn vyzvat zhotovitele k předložení smluv uzavřených s jeho poddodavateli k prokázání plnění povinnosti sjednat splatnost faktur ve výše uvedené délce. Zhotovitel není oprávněn se této výzvě bránit s odkazem na mlčenlivost nebo obchodní tajemství, je ale oprávněn předložit pouze stránky smlouvy uvádějící identifikaci smluvních stran, platební podmínky a podpisy smluvních stran. Výzva podle tohoto odstavce může být učiněna i zápisem do stavebního deníku.</w:t>
      </w:r>
    </w:p>
    <w:p w14:paraId="08A2CF37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68F42F8B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>Smluvní pokuty</w:t>
      </w:r>
    </w:p>
    <w:p w14:paraId="7AD0DB0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396FC58E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>Zhotovitel je povinen zaplatit objednateli smluvní pokutu ve výši</w:t>
      </w:r>
      <w:hyperlink r:id="rId11" w:anchor="_ftn1">
        <w:r w:rsidRPr="762D83BB">
          <w:rPr>
            <w:rStyle w:val="Hypertextovodkaz"/>
            <w:rFonts w:ascii="Calibri" w:eastAsia="Calibri" w:hAnsi="Calibri" w:cs="Calibri"/>
            <w:b/>
            <w:bCs/>
            <w:i/>
            <w:iCs/>
            <w:vertAlign w:val="superscript"/>
          </w:rPr>
          <w:t>[1]</w:t>
        </w:r>
      </w:hyperlink>
      <w:r w:rsidRPr="762D83BB">
        <w:rPr>
          <w:rFonts w:ascii="Calibri" w:eastAsia="Calibri" w:hAnsi="Calibri" w:cs="Calibri"/>
          <w:i/>
          <w:iCs/>
        </w:rPr>
        <w:t xml:space="preserve"> ....,- Kč za každý zjištěný a i přes písemnou výzvu objednatele v dodatečně poskytnuté lhůtě nenapravený případ porušení právních předpisů České republiky.</w:t>
      </w:r>
    </w:p>
    <w:p w14:paraId="0FFAB7F9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 xml:space="preserve"> </w:t>
      </w:r>
    </w:p>
    <w:p w14:paraId="207087B4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>Odstoupení od smlouvy</w:t>
      </w:r>
    </w:p>
    <w:p w14:paraId="1812B95E" w14:textId="77777777" w:rsidR="008A32C6" w:rsidRDefault="008A32C6" w:rsidP="008A32C6">
      <w:pPr>
        <w:spacing w:after="0"/>
        <w:jc w:val="both"/>
      </w:pPr>
      <w:r w:rsidRPr="762D83BB">
        <w:rPr>
          <w:rFonts w:ascii="Calibri" w:eastAsia="Calibri" w:hAnsi="Calibri" w:cs="Calibri"/>
          <w:i/>
          <w:iCs/>
        </w:rPr>
        <w:t>Objednatel je oprávněn od této smlouvy odstoupit v případě jeho zjištění, že zhotovitel opakovaně (alespoň 3krát) nezaplatí řádně a včas svým poddodavatelům.</w:t>
      </w:r>
    </w:p>
    <w:p w14:paraId="215E0EBC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 xml:space="preserve"> </w:t>
      </w:r>
    </w:p>
    <w:p w14:paraId="306815FE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</w:rPr>
        <w:t>3. Textace k podpoře cashflow do poddodavatelského řetězce:</w:t>
      </w:r>
    </w:p>
    <w:p w14:paraId="242086FE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0EE79053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>Platební podmínky</w:t>
      </w:r>
    </w:p>
    <w:p w14:paraId="64986FA8" w14:textId="77777777" w:rsidR="008A32C6" w:rsidRDefault="008A32C6" w:rsidP="008A32C6">
      <w:pPr>
        <w:spacing w:after="0"/>
      </w:pPr>
      <w:r w:rsidRPr="762D83BB">
        <w:rPr>
          <w:rFonts w:ascii="Calibri" w:eastAsia="Calibri" w:hAnsi="Calibri" w:cs="Calibri"/>
          <w:i/>
          <w:iCs/>
        </w:rPr>
        <w:t>Splatnost je smluvními stranami sjednána v délce 30 kalendářních dnů.</w:t>
      </w:r>
    </w:p>
    <w:p w14:paraId="47006004" w14:textId="77777777" w:rsidR="008A32C6" w:rsidRDefault="008A32C6" w:rsidP="008A32C6">
      <w:pPr>
        <w:spacing w:after="0"/>
      </w:pPr>
    </w:p>
    <w:p w14:paraId="74704713" w14:textId="77777777" w:rsidR="008A32C6" w:rsidRDefault="008A32C6" w:rsidP="008A32C6">
      <w:pPr>
        <w:spacing w:after="0"/>
      </w:pPr>
    </w:p>
    <w:p w14:paraId="1263AB00" w14:textId="77777777" w:rsidR="008A32C6" w:rsidRDefault="00000000" w:rsidP="008A32C6">
      <w:pPr>
        <w:spacing w:after="0" w:line="257" w:lineRule="auto"/>
      </w:pPr>
      <w:hyperlink r:id="rId12" w:anchor="_ftnref1">
        <w:r w:rsidR="008A32C6" w:rsidRPr="762D83BB">
          <w:rPr>
            <w:rStyle w:val="Hypertextovodkaz"/>
            <w:rFonts w:ascii="Calibri" w:eastAsia="Calibri" w:hAnsi="Calibri" w:cs="Calibri"/>
            <w:sz w:val="18"/>
            <w:szCs w:val="18"/>
            <w:vertAlign w:val="superscript"/>
          </w:rPr>
          <w:t>[1]</w:t>
        </w:r>
      </w:hyperlink>
      <w:r w:rsidR="008A32C6" w:rsidRPr="762D83BB">
        <w:rPr>
          <w:rFonts w:ascii="Calibri" w:eastAsia="Calibri" w:hAnsi="Calibri" w:cs="Calibri"/>
          <w:sz w:val="18"/>
          <w:szCs w:val="18"/>
        </w:rPr>
        <w:t xml:space="preserve"> Pozn. pro zadavatele: doplní zadavatel</w:t>
      </w:r>
    </w:p>
    <w:p w14:paraId="14A3E5A9" w14:textId="77777777" w:rsidR="008A32C6" w:rsidRDefault="008A32C6" w:rsidP="008A32C6"/>
    <w:p w14:paraId="40F0C9B9" w14:textId="77777777" w:rsidR="004A69B8" w:rsidRPr="008A32C6" w:rsidRDefault="004A69B8" w:rsidP="008A32C6"/>
    <w:sectPr w:rsidR="004A69B8" w:rsidRPr="008A32C6" w:rsidSect="00896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6808" w14:textId="77777777" w:rsidR="00150195" w:rsidRDefault="00150195" w:rsidP="00625E5A">
      <w:pPr>
        <w:spacing w:after="0" w:line="240" w:lineRule="auto"/>
      </w:pPr>
      <w:r>
        <w:separator/>
      </w:r>
    </w:p>
  </w:endnote>
  <w:endnote w:type="continuationSeparator" w:id="0">
    <w:p w14:paraId="54680F71" w14:textId="77777777" w:rsidR="00150195" w:rsidRDefault="00150195" w:rsidP="00625E5A">
      <w:pPr>
        <w:spacing w:after="0" w:line="240" w:lineRule="auto"/>
      </w:pPr>
      <w:r>
        <w:continuationSeparator/>
      </w:r>
    </w:p>
  </w:endnote>
  <w:endnote w:type="continuationNotice" w:id="1">
    <w:p w14:paraId="29E7B1F8" w14:textId="77777777" w:rsidR="00150195" w:rsidRDefault="00150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2BF" w14:textId="77777777" w:rsidR="00150195" w:rsidRDefault="00150195" w:rsidP="00625E5A">
      <w:pPr>
        <w:spacing w:after="0" w:line="240" w:lineRule="auto"/>
      </w:pPr>
      <w:r>
        <w:separator/>
      </w:r>
    </w:p>
  </w:footnote>
  <w:footnote w:type="continuationSeparator" w:id="0">
    <w:p w14:paraId="697E9D18" w14:textId="77777777" w:rsidR="00150195" w:rsidRDefault="00150195" w:rsidP="00625E5A">
      <w:pPr>
        <w:spacing w:after="0" w:line="240" w:lineRule="auto"/>
      </w:pPr>
      <w:r>
        <w:continuationSeparator/>
      </w:r>
    </w:p>
  </w:footnote>
  <w:footnote w:type="continuationNotice" w:id="1">
    <w:p w14:paraId="575ED4D0" w14:textId="77777777" w:rsidR="00150195" w:rsidRDefault="00150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9294"/>
    <w:multiLevelType w:val="hybridMultilevel"/>
    <w:tmpl w:val="9C0CDE64"/>
    <w:lvl w:ilvl="0" w:tplc="32B01484">
      <w:start w:val="1"/>
      <w:numFmt w:val="lowerLetter"/>
      <w:lvlText w:val="b)"/>
      <w:lvlJc w:val="left"/>
      <w:pPr>
        <w:ind w:left="720" w:hanging="360"/>
      </w:pPr>
    </w:lvl>
    <w:lvl w:ilvl="1" w:tplc="61D46EA2">
      <w:start w:val="1"/>
      <w:numFmt w:val="lowerLetter"/>
      <w:lvlText w:val="%2."/>
      <w:lvlJc w:val="left"/>
      <w:pPr>
        <w:ind w:left="1440" w:hanging="360"/>
      </w:pPr>
    </w:lvl>
    <w:lvl w:ilvl="2" w:tplc="DD78C536">
      <w:start w:val="1"/>
      <w:numFmt w:val="lowerRoman"/>
      <w:lvlText w:val="%3."/>
      <w:lvlJc w:val="right"/>
      <w:pPr>
        <w:ind w:left="2160" w:hanging="180"/>
      </w:pPr>
    </w:lvl>
    <w:lvl w:ilvl="3" w:tplc="3272AA2A">
      <w:start w:val="1"/>
      <w:numFmt w:val="decimal"/>
      <w:lvlText w:val="%4."/>
      <w:lvlJc w:val="left"/>
      <w:pPr>
        <w:ind w:left="2880" w:hanging="360"/>
      </w:pPr>
    </w:lvl>
    <w:lvl w:ilvl="4" w:tplc="8B36241A">
      <w:start w:val="1"/>
      <w:numFmt w:val="lowerLetter"/>
      <w:lvlText w:val="%5."/>
      <w:lvlJc w:val="left"/>
      <w:pPr>
        <w:ind w:left="3600" w:hanging="360"/>
      </w:pPr>
    </w:lvl>
    <w:lvl w:ilvl="5" w:tplc="4FA0309A">
      <w:start w:val="1"/>
      <w:numFmt w:val="lowerRoman"/>
      <w:lvlText w:val="%6."/>
      <w:lvlJc w:val="right"/>
      <w:pPr>
        <w:ind w:left="4320" w:hanging="180"/>
      </w:pPr>
    </w:lvl>
    <w:lvl w:ilvl="6" w:tplc="DB725F24">
      <w:start w:val="1"/>
      <w:numFmt w:val="decimal"/>
      <w:lvlText w:val="%7."/>
      <w:lvlJc w:val="left"/>
      <w:pPr>
        <w:ind w:left="5040" w:hanging="360"/>
      </w:pPr>
    </w:lvl>
    <w:lvl w:ilvl="7" w:tplc="7E06225C">
      <w:start w:val="1"/>
      <w:numFmt w:val="lowerLetter"/>
      <w:lvlText w:val="%8."/>
      <w:lvlJc w:val="left"/>
      <w:pPr>
        <w:ind w:left="5760" w:hanging="360"/>
      </w:pPr>
    </w:lvl>
    <w:lvl w:ilvl="8" w:tplc="8C369B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00F8A"/>
    <w:multiLevelType w:val="hybridMultilevel"/>
    <w:tmpl w:val="7346E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534"/>
    <w:multiLevelType w:val="hybridMultilevel"/>
    <w:tmpl w:val="9AD44DAA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6235"/>
    <w:multiLevelType w:val="hybridMultilevel"/>
    <w:tmpl w:val="0AD2683C"/>
    <w:lvl w:ilvl="0" w:tplc="23783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98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6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E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8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7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0E5338"/>
    <w:multiLevelType w:val="hybridMultilevel"/>
    <w:tmpl w:val="C87E2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2BCE"/>
    <w:multiLevelType w:val="hybridMultilevel"/>
    <w:tmpl w:val="3B22095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441"/>
    <w:multiLevelType w:val="hybridMultilevel"/>
    <w:tmpl w:val="837469DC"/>
    <w:lvl w:ilvl="0" w:tplc="9BB0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A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E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B1CA10"/>
    <w:multiLevelType w:val="hybridMultilevel"/>
    <w:tmpl w:val="335EF7F6"/>
    <w:lvl w:ilvl="0" w:tplc="1E62DDF8">
      <w:start w:val="1"/>
      <w:numFmt w:val="lowerLetter"/>
      <w:lvlText w:val="c)"/>
      <w:lvlJc w:val="left"/>
      <w:pPr>
        <w:ind w:left="720" w:hanging="360"/>
      </w:pPr>
    </w:lvl>
    <w:lvl w:ilvl="1" w:tplc="F59CE5C6">
      <w:start w:val="1"/>
      <w:numFmt w:val="lowerLetter"/>
      <w:lvlText w:val="%2."/>
      <w:lvlJc w:val="left"/>
      <w:pPr>
        <w:ind w:left="1440" w:hanging="360"/>
      </w:pPr>
    </w:lvl>
    <w:lvl w:ilvl="2" w:tplc="618EE1C4">
      <w:start w:val="1"/>
      <w:numFmt w:val="lowerRoman"/>
      <w:lvlText w:val="%3."/>
      <w:lvlJc w:val="right"/>
      <w:pPr>
        <w:ind w:left="2160" w:hanging="180"/>
      </w:pPr>
    </w:lvl>
    <w:lvl w:ilvl="3" w:tplc="B296A8B6">
      <w:start w:val="1"/>
      <w:numFmt w:val="decimal"/>
      <w:lvlText w:val="%4."/>
      <w:lvlJc w:val="left"/>
      <w:pPr>
        <w:ind w:left="2880" w:hanging="360"/>
      </w:pPr>
    </w:lvl>
    <w:lvl w:ilvl="4" w:tplc="E9145666">
      <w:start w:val="1"/>
      <w:numFmt w:val="lowerLetter"/>
      <w:lvlText w:val="%5."/>
      <w:lvlJc w:val="left"/>
      <w:pPr>
        <w:ind w:left="3600" w:hanging="360"/>
      </w:pPr>
    </w:lvl>
    <w:lvl w:ilvl="5" w:tplc="D7DCB168">
      <w:start w:val="1"/>
      <w:numFmt w:val="lowerRoman"/>
      <w:lvlText w:val="%6."/>
      <w:lvlJc w:val="right"/>
      <w:pPr>
        <w:ind w:left="4320" w:hanging="180"/>
      </w:pPr>
    </w:lvl>
    <w:lvl w:ilvl="6" w:tplc="90C2F9D4">
      <w:start w:val="1"/>
      <w:numFmt w:val="decimal"/>
      <w:lvlText w:val="%7."/>
      <w:lvlJc w:val="left"/>
      <w:pPr>
        <w:ind w:left="5040" w:hanging="360"/>
      </w:pPr>
    </w:lvl>
    <w:lvl w:ilvl="7" w:tplc="D03C2E38">
      <w:start w:val="1"/>
      <w:numFmt w:val="lowerLetter"/>
      <w:lvlText w:val="%8."/>
      <w:lvlJc w:val="left"/>
      <w:pPr>
        <w:ind w:left="5760" w:hanging="360"/>
      </w:pPr>
    </w:lvl>
    <w:lvl w:ilvl="8" w:tplc="7AB635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23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8C7856"/>
    <w:multiLevelType w:val="hybridMultilevel"/>
    <w:tmpl w:val="65D400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9C432B"/>
    <w:multiLevelType w:val="multilevel"/>
    <w:tmpl w:val="2F6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43BEC"/>
    <w:multiLevelType w:val="hybridMultilevel"/>
    <w:tmpl w:val="F4FC0CC0"/>
    <w:lvl w:ilvl="0" w:tplc="96E8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D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E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1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5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7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DC4602"/>
    <w:multiLevelType w:val="hybridMultilevel"/>
    <w:tmpl w:val="8C24D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40"/>
  </w:num>
  <w:num w:numId="2" w16cid:durableId="1611668272">
    <w:abstractNumId w:val="16"/>
  </w:num>
  <w:num w:numId="3" w16cid:durableId="726759405">
    <w:abstractNumId w:val="12"/>
  </w:num>
  <w:num w:numId="4" w16cid:durableId="291522863">
    <w:abstractNumId w:val="2"/>
  </w:num>
  <w:num w:numId="5" w16cid:durableId="1128934908">
    <w:abstractNumId w:val="22"/>
  </w:num>
  <w:num w:numId="6" w16cid:durableId="1295602061">
    <w:abstractNumId w:val="34"/>
  </w:num>
  <w:num w:numId="7" w16cid:durableId="1717271542">
    <w:abstractNumId w:val="30"/>
  </w:num>
  <w:num w:numId="8" w16cid:durableId="1431049133">
    <w:abstractNumId w:val="21"/>
  </w:num>
  <w:num w:numId="9" w16cid:durableId="2074546525">
    <w:abstractNumId w:val="42"/>
  </w:num>
  <w:num w:numId="10" w16cid:durableId="1551112181">
    <w:abstractNumId w:val="32"/>
  </w:num>
  <w:num w:numId="11" w16cid:durableId="935216238">
    <w:abstractNumId w:val="24"/>
  </w:num>
  <w:num w:numId="12" w16cid:durableId="1830633404">
    <w:abstractNumId w:val="1"/>
  </w:num>
  <w:num w:numId="13" w16cid:durableId="1432816836">
    <w:abstractNumId w:val="45"/>
  </w:num>
  <w:num w:numId="14" w16cid:durableId="1893956566">
    <w:abstractNumId w:val="5"/>
  </w:num>
  <w:num w:numId="15" w16cid:durableId="882667982">
    <w:abstractNumId w:val="38"/>
  </w:num>
  <w:num w:numId="16" w16cid:durableId="812719792">
    <w:abstractNumId w:val="23"/>
  </w:num>
  <w:num w:numId="17" w16cid:durableId="1294139494">
    <w:abstractNumId w:val="28"/>
  </w:num>
  <w:num w:numId="18" w16cid:durableId="818113708">
    <w:abstractNumId w:val="28"/>
  </w:num>
  <w:num w:numId="19" w16cid:durableId="1704407078">
    <w:abstractNumId w:val="37"/>
  </w:num>
  <w:num w:numId="20" w16cid:durableId="2109501032">
    <w:abstractNumId w:val="15"/>
  </w:num>
  <w:num w:numId="21" w16cid:durableId="201788002">
    <w:abstractNumId w:val="25"/>
  </w:num>
  <w:num w:numId="22" w16cid:durableId="1311247644">
    <w:abstractNumId w:val="20"/>
  </w:num>
  <w:num w:numId="23" w16cid:durableId="1146698437">
    <w:abstractNumId w:val="31"/>
  </w:num>
  <w:num w:numId="24" w16cid:durableId="1568419862">
    <w:abstractNumId w:val="17"/>
  </w:num>
  <w:num w:numId="25" w16cid:durableId="778525193">
    <w:abstractNumId w:val="36"/>
  </w:num>
  <w:num w:numId="26" w16cid:durableId="2123105188">
    <w:abstractNumId w:val="35"/>
  </w:num>
  <w:num w:numId="27" w16cid:durableId="1813058693">
    <w:abstractNumId w:val="44"/>
  </w:num>
  <w:num w:numId="28" w16cid:durableId="1542087003">
    <w:abstractNumId w:val="8"/>
  </w:num>
  <w:num w:numId="29" w16cid:durableId="421995557">
    <w:abstractNumId w:val="18"/>
  </w:num>
  <w:num w:numId="30" w16cid:durableId="1609661277">
    <w:abstractNumId w:val="11"/>
  </w:num>
  <w:num w:numId="31" w16cid:durableId="2017338434">
    <w:abstractNumId w:val="27"/>
  </w:num>
  <w:num w:numId="32" w16cid:durableId="2072459571">
    <w:abstractNumId w:val="41"/>
  </w:num>
  <w:num w:numId="33" w16cid:durableId="1526407901">
    <w:abstractNumId w:val="19"/>
  </w:num>
  <w:num w:numId="34" w16cid:durableId="1414087127">
    <w:abstractNumId w:val="13"/>
  </w:num>
  <w:num w:numId="35" w16cid:durableId="730809535">
    <w:abstractNumId w:val="39"/>
  </w:num>
  <w:num w:numId="36" w16cid:durableId="104351686">
    <w:abstractNumId w:val="43"/>
  </w:num>
  <w:num w:numId="37" w16cid:durableId="1435587366">
    <w:abstractNumId w:val="26"/>
  </w:num>
  <w:num w:numId="38" w16cid:durableId="1197160384">
    <w:abstractNumId w:val="3"/>
  </w:num>
  <w:num w:numId="39" w16cid:durableId="1579553112">
    <w:abstractNumId w:val="4"/>
  </w:num>
  <w:num w:numId="40" w16cid:durableId="49235806">
    <w:abstractNumId w:val="9"/>
  </w:num>
  <w:num w:numId="41" w16cid:durableId="1252936010">
    <w:abstractNumId w:val="7"/>
  </w:num>
  <w:num w:numId="42" w16cid:durableId="894319428">
    <w:abstractNumId w:val="29"/>
  </w:num>
  <w:num w:numId="43" w16cid:durableId="1186480225">
    <w:abstractNumId w:val="10"/>
  </w:num>
  <w:num w:numId="44" w16cid:durableId="760874122">
    <w:abstractNumId w:val="33"/>
  </w:num>
  <w:num w:numId="45" w16cid:durableId="359740746">
    <w:abstractNumId w:val="14"/>
  </w:num>
  <w:num w:numId="46" w16cid:durableId="255939005">
    <w:abstractNumId w:val="6"/>
  </w:num>
  <w:num w:numId="47" w16cid:durableId="198948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011"/>
    <w:rsid w:val="000028EE"/>
    <w:rsid w:val="0002425E"/>
    <w:rsid w:val="00043343"/>
    <w:rsid w:val="0005182F"/>
    <w:rsid w:val="000652E6"/>
    <w:rsid w:val="00075794"/>
    <w:rsid w:val="000766AE"/>
    <w:rsid w:val="00090007"/>
    <w:rsid w:val="000A4C83"/>
    <w:rsid w:val="000C603A"/>
    <w:rsid w:val="000D0943"/>
    <w:rsid w:val="000D468E"/>
    <w:rsid w:val="000F6804"/>
    <w:rsid w:val="00102AA3"/>
    <w:rsid w:val="00107964"/>
    <w:rsid w:val="00114CCC"/>
    <w:rsid w:val="00115F20"/>
    <w:rsid w:val="001171BD"/>
    <w:rsid w:val="001260B1"/>
    <w:rsid w:val="0012645A"/>
    <w:rsid w:val="00127B25"/>
    <w:rsid w:val="00150195"/>
    <w:rsid w:val="00152799"/>
    <w:rsid w:val="00157BD6"/>
    <w:rsid w:val="001712C8"/>
    <w:rsid w:val="0017486A"/>
    <w:rsid w:val="00174CDD"/>
    <w:rsid w:val="00187CD6"/>
    <w:rsid w:val="0019376F"/>
    <w:rsid w:val="001A18CF"/>
    <w:rsid w:val="001A4C81"/>
    <w:rsid w:val="001C05BA"/>
    <w:rsid w:val="001C2A37"/>
    <w:rsid w:val="001C64F6"/>
    <w:rsid w:val="001D1F95"/>
    <w:rsid w:val="001D674D"/>
    <w:rsid w:val="001E5C50"/>
    <w:rsid w:val="00206EFA"/>
    <w:rsid w:val="00212047"/>
    <w:rsid w:val="00214367"/>
    <w:rsid w:val="00246AC1"/>
    <w:rsid w:val="00252911"/>
    <w:rsid w:val="00257C1B"/>
    <w:rsid w:val="00257FC8"/>
    <w:rsid w:val="00263888"/>
    <w:rsid w:val="00265C7F"/>
    <w:rsid w:val="00270E1D"/>
    <w:rsid w:val="00277352"/>
    <w:rsid w:val="00284F21"/>
    <w:rsid w:val="002859D2"/>
    <w:rsid w:val="00286A00"/>
    <w:rsid w:val="00287B6E"/>
    <w:rsid w:val="00287CDA"/>
    <w:rsid w:val="00290405"/>
    <w:rsid w:val="00294FC1"/>
    <w:rsid w:val="00297800"/>
    <w:rsid w:val="002A2405"/>
    <w:rsid w:val="002B0997"/>
    <w:rsid w:val="002B25E3"/>
    <w:rsid w:val="002D383E"/>
    <w:rsid w:val="002E6F11"/>
    <w:rsid w:val="003024B4"/>
    <w:rsid w:val="003055ED"/>
    <w:rsid w:val="00306F93"/>
    <w:rsid w:val="00307797"/>
    <w:rsid w:val="0032167F"/>
    <w:rsid w:val="00330360"/>
    <w:rsid w:val="00334393"/>
    <w:rsid w:val="0033777A"/>
    <w:rsid w:val="0034397F"/>
    <w:rsid w:val="00344DC7"/>
    <w:rsid w:val="00346806"/>
    <w:rsid w:val="00350323"/>
    <w:rsid w:val="00351D76"/>
    <w:rsid w:val="003634CD"/>
    <w:rsid w:val="0039664B"/>
    <w:rsid w:val="003A1C33"/>
    <w:rsid w:val="003A46FA"/>
    <w:rsid w:val="003B0CBF"/>
    <w:rsid w:val="003B39CA"/>
    <w:rsid w:val="003B529C"/>
    <w:rsid w:val="003B54B4"/>
    <w:rsid w:val="003B66A1"/>
    <w:rsid w:val="003C1E0B"/>
    <w:rsid w:val="003C6A4E"/>
    <w:rsid w:val="003D4904"/>
    <w:rsid w:val="003E5131"/>
    <w:rsid w:val="003E5833"/>
    <w:rsid w:val="003E6AEC"/>
    <w:rsid w:val="003F7B6F"/>
    <w:rsid w:val="00402132"/>
    <w:rsid w:val="0040289E"/>
    <w:rsid w:val="004049D4"/>
    <w:rsid w:val="004100C1"/>
    <w:rsid w:val="00427EEB"/>
    <w:rsid w:val="004308B0"/>
    <w:rsid w:val="00433A3E"/>
    <w:rsid w:val="004358D9"/>
    <w:rsid w:val="004439EE"/>
    <w:rsid w:val="00445027"/>
    <w:rsid w:val="004943AB"/>
    <w:rsid w:val="004A2E9C"/>
    <w:rsid w:val="004A6711"/>
    <w:rsid w:val="004A69B8"/>
    <w:rsid w:val="004A7F96"/>
    <w:rsid w:val="004B487F"/>
    <w:rsid w:val="004C6CFD"/>
    <w:rsid w:val="004D48EB"/>
    <w:rsid w:val="004D5005"/>
    <w:rsid w:val="004D5B16"/>
    <w:rsid w:val="004D6154"/>
    <w:rsid w:val="0050058D"/>
    <w:rsid w:val="00500C05"/>
    <w:rsid w:val="00503EA3"/>
    <w:rsid w:val="00537FA8"/>
    <w:rsid w:val="005435CD"/>
    <w:rsid w:val="0055209A"/>
    <w:rsid w:val="00554726"/>
    <w:rsid w:val="00560921"/>
    <w:rsid w:val="00562A8F"/>
    <w:rsid w:val="00572D93"/>
    <w:rsid w:val="00575F84"/>
    <w:rsid w:val="00580BB6"/>
    <w:rsid w:val="00584D8F"/>
    <w:rsid w:val="005B18A5"/>
    <w:rsid w:val="005B1F7D"/>
    <w:rsid w:val="005B4F78"/>
    <w:rsid w:val="005B6451"/>
    <w:rsid w:val="005D15F8"/>
    <w:rsid w:val="005D21B2"/>
    <w:rsid w:val="00607529"/>
    <w:rsid w:val="00607FE0"/>
    <w:rsid w:val="006119FD"/>
    <w:rsid w:val="00625E5A"/>
    <w:rsid w:val="0063048B"/>
    <w:rsid w:val="00632BE0"/>
    <w:rsid w:val="00635F0A"/>
    <w:rsid w:val="0064100C"/>
    <w:rsid w:val="00642EBF"/>
    <w:rsid w:val="0064476C"/>
    <w:rsid w:val="006470A9"/>
    <w:rsid w:val="0065184B"/>
    <w:rsid w:val="00666545"/>
    <w:rsid w:val="006715F8"/>
    <w:rsid w:val="0067246E"/>
    <w:rsid w:val="00676B6C"/>
    <w:rsid w:val="00687478"/>
    <w:rsid w:val="00691C49"/>
    <w:rsid w:val="00692CE5"/>
    <w:rsid w:val="006938E5"/>
    <w:rsid w:val="00696552"/>
    <w:rsid w:val="006A2230"/>
    <w:rsid w:val="006A2488"/>
    <w:rsid w:val="006A31B4"/>
    <w:rsid w:val="006A3C82"/>
    <w:rsid w:val="006A4061"/>
    <w:rsid w:val="006A7B34"/>
    <w:rsid w:val="006B180A"/>
    <w:rsid w:val="006C28CB"/>
    <w:rsid w:val="006D5332"/>
    <w:rsid w:val="006E15DE"/>
    <w:rsid w:val="006E6A8D"/>
    <w:rsid w:val="006E7ACE"/>
    <w:rsid w:val="00703CBD"/>
    <w:rsid w:val="0071326E"/>
    <w:rsid w:val="0071453B"/>
    <w:rsid w:val="00714907"/>
    <w:rsid w:val="0071594E"/>
    <w:rsid w:val="0071665A"/>
    <w:rsid w:val="00723F72"/>
    <w:rsid w:val="0074152C"/>
    <w:rsid w:val="007415CE"/>
    <w:rsid w:val="007565F6"/>
    <w:rsid w:val="00762C38"/>
    <w:rsid w:val="00763D4C"/>
    <w:rsid w:val="00767B1D"/>
    <w:rsid w:val="00775F1B"/>
    <w:rsid w:val="00792901"/>
    <w:rsid w:val="007C5BCA"/>
    <w:rsid w:val="007C6D1A"/>
    <w:rsid w:val="007D36CB"/>
    <w:rsid w:val="007D6106"/>
    <w:rsid w:val="007D6E50"/>
    <w:rsid w:val="007D7C6E"/>
    <w:rsid w:val="007F251D"/>
    <w:rsid w:val="008075B2"/>
    <w:rsid w:val="0081259D"/>
    <w:rsid w:val="00813A7B"/>
    <w:rsid w:val="00813DE6"/>
    <w:rsid w:val="00817F8F"/>
    <w:rsid w:val="008325D5"/>
    <w:rsid w:val="00836DB9"/>
    <w:rsid w:val="00844039"/>
    <w:rsid w:val="00855270"/>
    <w:rsid w:val="00856BF2"/>
    <w:rsid w:val="00860738"/>
    <w:rsid w:val="00862689"/>
    <w:rsid w:val="00862F08"/>
    <w:rsid w:val="00867586"/>
    <w:rsid w:val="00894D74"/>
    <w:rsid w:val="00896FA5"/>
    <w:rsid w:val="008979DA"/>
    <w:rsid w:val="008A250D"/>
    <w:rsid w:val="008A32C6"/>
    <w:rsid w:val="008A35AB"/>
    <w:rsid w:val="008D1252"/>
    <w:rsid w:val="008F24D9"/>
    <w:rsid w:val="008F65EA"/>
    <w:rsid w:val="00904DA4"/>
    <w:rsid w:val="00905B6A"/>
    <w:rsid w:val="00907A0F"/>
    <w:rsid w:val="009104A7"/>
    <w:rsid w:val="0091212D"/>
    <w:rsid w:val="0091237D"/>
    <w:rsid w:val="00917F90"/>
    <w:rsid w:val="0092146F"/>
    <w:rsid w:val="009301BE"/>
    <w:rsid w:val="00951731"/>
    <w:rsid w:val="00964651"/>
    <w:rsid w:val="00984726"/>
    <w:rsid w:val="009928DE"/>
    <w:rsid w:val="009B3D48"/>
    <w:rsid w:val="009B5062"/>
    <w:rsid w:val="009B51CC"/>
    <w:rsid w:val="009E3E43"/>
    <w:rsid w:val="009E40DF"/>
    <w:rsid w:val="009E56D6"/>
    <w:rsid w:val="009E630F"/>
    <w:rsid w:val="009F0FD6"/>
    <w:rsid w:val="009F3726"/>
    <w:rsid w:val="00A14EF4"/>
    <w:rsid w:val="00A14F8A"/>
    <w:rsid w:val="00A20F6A"/>
    <w:rsid w:val="00A3027E"/>
    <w:rsid w:val="00A333D4"/>
    <w:rsid w:val="00A42B61"/>
    <w:rsid w:val="00A56E1F"/>
    <w:rsid w:val="00A578BC"/>
    <w:rsid w:val="00A744E7"/>
    <w:rsid w:val="00A7670F"/>
    <w:rsid w:val="00A97D24"/>
    <w:rsid w:val="00AA4FBA"/>
    <w:rsid w:val="00AA5096"/>
    <w:rsid w:val="00AB18A5"/>
    <w:rsid w:val="00AB3912"/>
    <w:rsid w:val="00AB6823"/>
    <w:rsid w:val="00AC1F66"/>
    <w:rsid w:val="00AD373E"/>
    <w:rsid w:val="00AD3DB7"/>
    <w:rsid w:val="00AE003D"/>
    <w:rsid w:val="00AE0DCC"/>
    <w:rsid w:val="00AE2063"/>
    <w:rsid w:val="00AF11D5"/>
    <w:rsid w:val="00AF71D4"/>
    <w:rsid w:val="00B0671B"/>
    <w:rsid w:val="00B07C93"/>
    <w:rsid w:val="00B25708"/>
    <w:rsid w:val="00B3110A"/>
    <w:rsid w:val="00B36E3C"/>
    <w:rsid w:val="00B4479F"/>
    <w:rsid w:val="00B4480A"/>
    <w:rsid w:val="00B4569F"/>
    <w:rsid w:val="00B46190"/>
    <w:rsid w:val="00B51337"/>
    <w:rsid w:val="00B526B3"/>
    <w:rsid w:val="00B5318C"/>
    <w:rsid w:val="00B54154"/>
    <w:rsid w:val="00B54D28"/>
    <w:rsid w:val="00B61B6E"/>
    <w:rsid w:val="00B62EA3"/>
    <w:rsid w:val="00B90DB6"/>
    <w:rsid w:val="00B921C7"/>
    <w:rsid w:val="00BA3951"/>
    <w:rsid w:val="00BB11BF"/>
    <w:rsid w:val="00BB1473"/>
    <w:rsid w:val="00BB18B6"/>
    <w:rsid w:val="00BB3AE0"/>
    <w:rsid w:val="00BB57BF"/>
    <w:rsid w:val="00BC2ECE"/>
    <w:rsid w:val="00BC5376"/>
    <w:rsid w:val="00BC5409"/>
    <w:rsid w:val="00BC6CBD"/>
    <w:rsid w:val="00BD2F06"/>
    <w:rsid w:val="00BD5EDE"/>
    <w:rsid w:val="00BF304D"/>
    <w:rsid w:val="00BF3210"/>
    <w:rsid w:val="00BF3B79"/>
    <w:rsid w:val="00BF5641"/>
    <w:rsid w:val="00C02B25"/>
    <w:rsid w:val="00C03A4E"/>
    <w:rsid w:val="00C11990"/>
    <w:rsid w:val="00C1705E"/>
    <w:rsid w:val="00C17F35"/>
    <w:rsid w:val="00C23B52"/>
    <w:rsid w:val="00C40712"/>
    <w:rsid w:val="00C466D2"/>
    <w:rsid w:val="00C5048A"/>
    <w:rsid w:val="00C52EAD"/>
    <w:rsid w:val="00C60EB3"/>
    <w:rsid w:val="00C6342F"/>
    <w:rsid w:val="00C77E8E"/>
    <w:rsid w:val="00C84BEF"/>
    <w:rsid w:val="00C86E59"/>
    <w:rsid w:val="00C96E75"/>
    <w:rsid w:val="00CA297C"/>
    <w:rsid w:val="00CA6BA0"/>
    <w:rsid w:val="00CA7D8C"/>
    <w:rsid w:val="00CB0A48"/>
    <w:rsid w:val="00CB42F1"/>
    <w:rsid w:val="00CB47D0"/>
    <w:rsid w:val="00CC517E"/>
    <w:rsid w:val="00CD52DA"/>
    <w:rsid w:val="00CD7729"/>
    <w:rsid w:val="00CE17A6"/>
    <w:rsid w:val="00CE3D86"/>
    <w:rsid w:val="00CE4E5C"/>
    <w:rsid w:val="00CE5400"/>
    <w:rsid w:val="00CE7F37"/>
    <w:rsid w:val="00CF7EE2"/>
    <w:rsid w:val="00D02353"/>
    <w:rsid w:val="00D058EB"/>
    <w:rsid w:val="00D208F5"/>
    <w:rsid w:val="00D21E6A"/>
    <w:rsid w:val="00D23AA7"/>
    <w:rsid w:val="00D247EF"/>
    <w:rsid w:val="00D24A87"/>
    <w:rsid w:val="00D26ED3"/>
    <w:rsid w:val="00D417C4"/>
    <w:rsid w:val="00D623D4"/>
    <w:rsid w:val="00D63B47"/>
    <w:rsid w:val="00D852AA"/>
    <w:rsid w:val="00D87A70"/>
    <w:rsid w:val="00DA3291"/>
    <w:rsid w:val="00DB4295"/>
    <w:rsid w:val="00DB4A0B"/>
    <w:rsid w:val="00DC3EA1"/>
    <w:rsid w:val="00E021D0"/>
    <w:rsid w:val="00E04D6E"/>
    <w:rsid w:val="00E146C2"/>
    <w:rsid w:val="00E21126"/>
    <w:rsid w:val="00E26DF2"/>
    <w:rsid w:val="00E56953"/>
    <w:rsid w:val="00E62FBE"/>
    <w:rsid w:val="00E679A6"/>
    <w:rsid w:val="00E755F4"/>
    <w:rsid w:val="00E86C05"/>
    <w:rsid w:val="00E87BA4"/>
    <w:rsid w:val="00EA6F62"/>
    <w:rsid w:val="00EB1564"/>
    <w:rsid w:val="00EB30A4"/>
    <w:rsid w:val="00EB7C85"/>
    <w:rsid w:val="00EC1BB6"/>
    <w:rsid w:val="00EC39AC"/>
    <w:rsid w:val="00ED1EE2"/>
    <w:rsid w:val="00ED5CB5"/>
    <w:rsid w:val="00EE4539"/>
    <w:rsid w:val="00F03BFC"/>
    <w:rsid w:val="00F0427F"/>
    <w:rsid w:val="00F11B85"/>
    <w:rsid w:val="00F13832"/>
    <w:rsid w:val="00F210B9"/>
    <w:rsid w:val="00F21CBF"/>
    <w:rsid w:val="00F22492"/>
    <w:rsid w:val="00F41454"/>
    <w:rsid w:val="00F53CC9"/>
    <w:rsid w:val="00F64FC8"/>
    <w:rsid w:val="00F75ACC"/>
    <w:rsid w:val="00F808D7"/>
    <w:rsid w:val="00F86DC3"/>
    <w:rsid w:val="00F86F71"/>
    <w:rsid w:val="00F959A6"/>
    <w:rsid w:val="00F96C42"/>
    <w:rsid w:val="00FA4AC5"/>
    <w:rsid w:val="00FB0B67"/>
    <w:rsid w:val="00FB19FE"/>
    <w:rsid w:val="00FC072E"/>
    <w:rsid w:val="00FC453E"/>
    <w:rsid w:val="00FC57A6"/>
    <w:rsid w:val="00FD4BA7"/>
    <w:rsid w:val="00FE021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A32C6"/>
    <w:pPr>
      <w:keepNext/>
      <w:keepLines/>
      <w:spacing w:before="80" w:after="40" w:line="279" w:lineRule="auto"/>
      <w:outlineLvl w:val="4"/>
    </w:pPr>
    <w:rPr>
      <w:rFonts w:eastAsiaTheme="minorEastAsia" w:cstheme="majorEastAsia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8A32C6"/>
    <w:rPr>
      <w:rFonts w:eastAsiaTheme="minorEastAsia" w:cstheme="majorEastAsia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cs&amp;rs=cs-CZ&amp;wopisrc=https%3A%2F%2Fmmrcz.sharepoint.com%2Fsites%2FPSVZ%2F_vti_bin%2Fwopi.ashx%2Ffiles%2Fea244a1398a14c8ab75bdf7b9485af55&amp;wdorigin=Teams-HL&amp;wdexp=TEAMS-TREATMENT&amp;wdhostclicktime=1737619344253&amp;wdenableroaming=1&amp;mscc=1&amp;hid=BE457AA1-405A-9000-6848-9C9704C3202B.0&amp;uih=sharepointcom&amp;wdlcid=cs&amp;jsapi=1&amp;jsapiver=v2&amp;corrid=540f35cb-0be3-b733-b380-1de2fac7ea95&amp;usid=540f35cb-0be3-b733-b380-1de2fac7ea95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cs&amp;rs=cs-CZ&amp;wopisrc=https%3A%2F%2Fmmrcz.sharepoint.com%2Fsites%2FPSVZ%2F_vti_bin%2Fwopi.ashx%2Ffiles%2Fea244a1398a14c8ab75bdf7b9485af55&amp;wdorigin=Teams-HL&amp;wdexp=TEAMS-TREATMENT&amp;wdhostclicktime=1737619344253&amp;wdenableroaming=1&amp;mscc=1&amp;hid=BE457AA1-405A-9000-6848-9C9704C3202B.0&amp;uih=sharepointcom&amp;wdlcid=cs&amp;jsapi=1&amp;jsapiver=v2&amp;corrid=540f35cb-0be3-b733-b380-1de2fac7ea95&amp;usid=540f35cb-0be3-b733-b380-1de2fac7ea95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Kálalová Alžběta</cp:lastModifiedBy>
  <cp:revision>2</cp:revision>
  <dcterms:created xsi:type="dcterms:W3CDTF">2025-01-29T09:48:00Z</dcterms:created>
  <dcterms:modified xsi:type="dcterms:W3CDTF">2025-01-29T09:48:00Z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