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61CA" w14:textId="77777777" w:rsidR="007710F6" w:rsidRDefault="00184C76" w:rsidP="00314E8B">
      <w:pPr>
        <w:jc w:val="center"/>
        <w:rPr>
          <w:b/>
        </w:rPr>
      </w:pPr>
      <w:r w:rsidRPr="00314E8B">
        <w:rPr>
          <w:b/>
        </w:rPr>
        <w:t>Metodika k</w:t>
      </w:r>
      <w:r w:rsidR="008744E8">
        <w:rPr>
          <w:b/>
        </w:rPr>
        <w:t> </w:t>
      </w:r>
      <w:r w:rsidR="00D948ED">
        <w:rPr>
          <w:b/>
        </w:rPr>
        <w:t>z</w:t>
      </w:r>
      <w:r w:rsidR="00D77AE0">
        <w:rPr>
          <w:b/>
        </w:rPr>
        <w:t xml:space="preserve">ákonu o </w:t>
      </w:r>
      <w:r w:rsidR="008744E8">
        <w:rPr>
          <w:b/>
        </w:rPr>
        <w:t>podpo</w:t>
      </w:r>
      <w:r w:rsidR="00D77AE0">
        <w:rPr>
          <w:b/>
        </w:rPr>
        <w:t>ře</w:t>
      </w:r>
      <w:r w:rsidRPr="00314E8B">
        <w:rPr>
          <w:b/>
        </w:rPr>
        <w:t xml:space="preserve"> </w:t>
      </w:r>
      <w:proofErr w:type="spellStart"/>
      <w:r w:rsidRPr="00314E8B">
        <w:rPr>
          <w:b/>
        </w:rPr>
        <w:t>nízkoemisních</w:t>
      </w:r>
      <w:proofErr w:type="spellEnd"/>
      <w:r w:rsidRPr="00314E8B">
        <w:rPr>
          <w:b/>
        </w:rPr>
        <w:t xml:space="preserve"> vozidel prostřednictvím zadávání veřejných zakázek a veřejných služeb v přepravě cestujících</w:t>
      </w:r>
    </w:p>
    <w:p w14:paraId="6C434E48" w14:textId="77777777" w:rsidR="00322BCE" w:rsidRDefault="00322BCE" w:rsidP="00322BCE">
      <w:pPr>
        <w:spacing w:after="0" w:line="240" w:lineRule="auto"/>
      </w:pPr>
    </w:p>
    <w:p w14:paraId="6D1F206E" w14:textId="77777777" w:rsidR="00322BCE" w:rsidRDefault="00322BCE" w:rsidP="00322BCE">
      <w:pPr>
        <w:spacing w:after="0" w:line="240" w:lineRule="auto"/>
        <w:rPr>
          <w:rFonts w:ascii="Arial" w:hAnsi="Arial" w:cs="Arial"/>
          <w:sz w:val="20"/>
          <w:szCs w:val="20"/>
        </w:rPr>
      </w:pPr>
    </w:p>
    <w:p w14:paraId="5E2C1AF6" w14:textId="77777777" w:rsidR="00962E48" w:rsidRDefault="00962E48" w:rsidP="00886F3C">
      <w:pPr>
        <w:pStyle w:val="Odstavecseseznamem"/>
      </w:pPr>
    </w:p>
    <w:p w14:paraId="5D134B13" w14:textId="77777777" w:rsidR="00184C76" w:rsidRDefault="00184C76" w:rsidP="007B0432">
      <w:pPr>
        <w:pStyle w:val="Odstavecseseznamem"/>
        <w:rPr>
          <w:b/>
        </w:rPr>
      </w:pPr>
    </w:p>
    <w:p w14:paraId="4833ED78" w14:textId="77777777" w:rsidR="008B2EF8" w:rsidRDefault="008B2EF8" w:rsidP="007B0432">
      <w:pPr>
        <w:pStyle w:val="Odstavecseseznamem"/>
        <w:rPr>
          <w:b/>
        </w:rPr>
      </w:pPr>
    </w:p>
    <w:p w14:paraId="0B29FF12" w14:textId="77777777" w:rsidR="008B2EF8" w:rsidRDefault="008B2EF8" w:rsidP="007B0432">
      <w:pPr>
        <w:pStyle w:val="Odstavecseseznamem"/>
      </w:pPr>
    </w:p>
    <w:p w14:paraId="652B0D49" w14:textId="77777777" w:rsidR="00010E57" w:rsidRDefault="00010E57" w:rsidP="007B0432">
      <w:pPr>
        <w:pStyle w:val="Odstavecseseznamem"/>
      </w:pPr>
    </w:p>
    <w:sdt>
      <w:sdtPr>
        <w:rPr>
          <w:rFonts w:asciiTheme="minorHAnsi" w:eastAsiaTheme="minorHAnsi" w:hAnsiTheme="minorHAnsi" w:cstheme="minorBidi"/>
          <w:b w:val="0"/>
          <w:sz w:val="22"/>
          <w:szCs w:val="22"/>
          <w:lang w:eastAsia="en-US"/>
        </w:rPr>
        <w:id w:val="-1445453805"/>
        <w:docPartObj>
          <w:docPartGallery w:val="Table of Contents"/>
          <w:docPartUnique/>
        </w:docPartObj>
      </w:sdtPr>
      <w:sdtEndPr>
        <w:rPr>
          <w:bCs/>
        </w:rPr>
      </w:sdtEndPr>
      <w:sdtContent>
        <w:p w14:paraId="3FA988C1" w14:textId="77777777" w:rsidR="00C11393" w:rsidRDefault="00C11393">
          <w:pPr>
            <w:pStyle w:val="Nadpisobsahu"/>
          </w:pPr>
          <w:r>
            <w:t>Obsah</w:t>
          </w:r>
        </w:p>
        <w:p w14:paraId="1BC18093" w14:textId="543AE2D3" w:rsidR="008979B5" w:rsidRDefault="00C11393">
          <w:pPr>
            <w:pStyle w:val="Obsah1"/>
            <w:rPr>
              <w:rFonts w:cstheme="minorBidi"/>
              <w:b w:val="0"/>
            </w:rPr>
          </w:pPr>
          <w:r>
            <w:fldChar w:fldCharType="begin"/>
          </w:r>
          <w:r>
            <w:instrText xml:space="preserve"> TOC \o "1-3" \h \z \u </w:instrText>
          </w:r>
          <w:r>
            <w:fldChar w:fldCharType="separate"/>
          </w:r>
          <w:hyperlink w:anchor="_Toc157593033" w:history="1">
            <w:r w:rsidR="008979B5" w:rsidRPr="00453541">
              <w:rPr>
                <w:rStyle w:val="Hypertextovodkaz"/>
              </w:rPr>
              <w:t>1. Úvod</w:t>
            </w:r>
            <w:r w:rsidR="008979B5">
              <w:rPr>
                <w:webHidden/>
              </w:rPr>
              <w:tab/>
            </w:r>
            <w:r w:rsidR="008979B5">
              <w:rPr>
                <w:webHidden/>
              </w:rPr>
              <w:fldChar w:fldCharType="begin"/>
            </w:r>
            <w:r w:rsidR="008979B5">
              <w:rPr>
                <w:webHidden/>
              </w:rPr>
              <w:instrText xml:space="preserve"> PAGEREF _Toc157593033 \h </w:instrText>
            </w:r>
            <w:r w:rsidR="008979B5">
              <w:rPr>
                <w:webHidden/>
              </w:rPr>
            </w:r>
            <w:r w:rsidR="008979B5">
              <w:rPr>
                <w:webHidden/>
              </w:rPr>
              <w:fldChar w:fldCharType="separate"/>
            </w:r>
            <w:r w:rsidR="008979B5">
              <w:rPr>
                <w:webHidden/>
              </w:rPr>
              <w:t>3</w:t>
            </w:r>
            <w:r w:rsidR="008979B5">
              <w:rPr>
                <w:webHidden/>
              </w:rPr>
              <w:fldChar w:fldCharType="end"/>
            </w:r>
          </w:hyperlink>
        </w:p>
        <w:p w14:paraId="696E594C" w14:textId="5298F7FB" w:rsidR="008979B5" w:rsidRDefault="0087603B">
          <w:pPr>
            <w:pStyle w:val="Obsah1"/>
            <w:rPr>
              <w:rFonts w:cstheme="minorBidi"/>
              <w:b w:val="0"/>
            </w:rPr>
          </w:pPr>
          <w:hyperlink w:anchor="_Toc157593034" w:history="1">
            <w:r w:rsidR="008979B5" w:rsidRPr="00453541">
              <w:rPr>
                <w:rStyle w:val="Hypertextovodkaz"/>
              </w:rPr>
              <w:t>2. Působnost ZPNV</w:t>
            </w:r>
            <w:r w:rsidR="008979B5">
              <w:rPr>
                <w:webHidden/>
              </w:rPr>
              <w:tab/>
            </w:r>
            <w:r w:rsidR="008979B5">
              <w:rPr>
                <w:webHidden/>
              </w:rPr>
              <w:fldChar w:fldCharType="begin"/>
            </w:r>
            <w:r w:rsidR="008979B5">
              <w:rPr>
                <w:webHidden/>
              </w:rPr>
              <w:instrText xml:space="preserve"> PAGEREF _Toc157593034 \h </w:instrText>
            </w:r>
            <w:r w:rsidR="008979B5">
              <w:rPr>
                <w:webHidden/>
              </w:rPr>
            </w:r>
            <w:r w:rsidR="008979B5">
              <w:rPr>
                <w:webHidden/>
              </w:rPr>
              <w:fldChar w:fldCharType="separate"/>
            </w:r>
            <w:r w:rsidR="008979B5">
              <w:rPr>
                <w:webHidden/>
              </w:rPr>
              <w:t>4</w:t>
            </w:r>
            <w:r w:rsidR="008979B5">
              <w:rPr>
                <w:webHidden/>
              </w:rPr>
              <w:fldChar w:fldCharType="end"/>
            </w:r>
          </w:hyperlink>
        </w:p>
        <w:p w14:paraId="4964A6E7" w14:textId="02258420" w:rsidR="008979B5" w:rsidRDefault="0087603B">
          <w:pPr>
            <w:pStyle w:val="Obsah2"/>
            <w:tabs>
              <w:tab w:val="right" w:pos="9062"/>
            </w:tabs>
            <w:rPr>
              <w:rFonts w:cstheme="minorBidi"/>
              <w:noProof/>
            </w:rPr>
          </w:pPr>
          <w:hyperlink w:anchor="_Toc157593035" w:history="1">
            <w:r w:rsidR="008979B5" w:rsidRPr="00453541">
              <w:rPr>
                <w:rStyle w:val="Hypertextovodkaz"/>
                <w:noProof/>
              </w:rPr>
              <w:t>2.1.  Působnost ZPNV ve vztahu k okruhu smluv uzavíraných zadavateli a objednateli</w:t>
            </w:r>
            <w:r w:rsidR="008979B5">
              <w:rPr>
                <w:noProof/>
                <w:webHidden/>
              </w:rPr>
              <w:tab/>
            </w:r>
            <w:r w:rsidR="008979B5">
              <w:rPr>
                <w:noProof/>
                <w:webHidden/>
              </w:rPr>
              <w:fldChar w:fldCharType="begin"/>
            </w:r>
            <w:r w:rsidR="008979B5">
              <w:rPr>
                <w:noProof/>
                <w:webHidden/>
              </w:rPr>
              <w:instrText xml:space="preserve"> PAGEREF _Toc157593035 \h </w:instrText>
            </w:r>
            <w:r w:rsidR="008979B5">
              <w:rPr>
                <w:noProof/>
                <w:webHidden/>
              </w:rPr>
            </w:r>
            <w:r w:rsidR="008979B5">
              <w:rPr>
                <w:noProof/>
                <w:webHidden/>
              </w:rPr>
              <w:fldChar w:fldCharType="separate"/>
            </w:r>
            <w:r w:rsidR="008979B5">
              <w:rPr>
                <w:noProof/>
                <w:webHidden/>
              </w:rPr>
              <w:t>4</w:t>
            </w:r>
            <w:r w:rsidR="008979B5">
              <w:rPr>
                <w:noProof/>
                <w:webHidden/>
              </w:rPr>
              <w:fldChar w:fldCharType="end"/>
            </w:r>
          </w:hyperlink>
        </w:p>
        <w:p w14:paraId="3563D425" w14:textId="2E38E2EE" w:rsidR="008979B5" w:rsidRDefault="0087603B">
          <w:pPr>
            <w:pStyle w:val="Obsah3"/>
            <w:tabs>
              <w:tab w:val="right" w:pos="9062"/>
            </w:tabs>
            <w:rPr>
              <w:rFonts w:cstheme="minorBidi"/>
              <w:noProof/>
            </w:rPr>
          </w:pPr>
          <w:hyperlink w:anchor="_Toc157593036" w:history="1">
            <w:r w:rsidR="008979B5" w:rsidRPr="00453541">
              <w:rPr>
                <w:rStyle w:val="Hypertextovodkaz"/>
                <w:noProof/>
              </w:rPr>
              <w:t>2.1a) Kdo smlouvu uzavírá</w:t>
            </w:r>
            <w:r w:rsidR="008979B5">
              <w:rPr>
                <w:noProof/>
                <w:webHidden/>
              </w:rPr>
              <w:tab/>
            </w:r>
            <w:r w:rsidR="008979B5">
              <w:rPr>
                <w:noProof/>
                <w:webHidden/>
              </w:rPr>
              <w:fldChar w:fldCharType="begin"/>
            </w:r>
            <w:r w:rsidR="008979B5">
              <w:rPr>
                <w:noProof/>
                <w:webHidden/>
              </w:rPr>
              <w:instrText xml:space="preserve"> PAGEREF _Toc157593036 \h </w:instrText>
            </w:r>
            <w:r w:rsidR="008979B5">
              <w:rPr>
                <w:noProof/>
                <w:webHidden/>
              </w:rPr>
            </w:r>
            <w:r w:rsidR="008979B5">
              <w:rPr>
                <w:noProof/>
                <w:webHidden/>
              </w:rPr>
              <w:fldChar w:fldCharType="separate"/>
            </w:r>
            <w:r w:rsidR="008979B5">
              <w:rPr>
                <w:noProof/>
                <w:webHidden/>
              </w:rPr>
              <w:t>5</w:t>
            </w:r>
            <w:r w:rsidR="008979B5">
              <w:rPr>
                <w:noProof/>
                <w:webHidden/>
              </w:rPr>
              <w:fldChar w:fldCharType="end"/>
            </w:r>
          </w:hyperlink>
        </w:p>
        <w:p w14:paraId="51CE5C51" w14:textId="781E314F" w:rsidR="008979B5" w:rsidRDefault="0087603B">
          <w:pPr>
            <w:pStyle w:val="Obsah3"/>
            <w:tabs>
              <w:tab w:val="right" w:pos="9062"/>
            </w:tabs>
            <w:rPr>
              <w:rFonts w:cstheme="minorBidi"/>
              <w:noProof/>
            </w:rPr>
          </w:pPr>
          <w:hyperlink w:anchor="_Toc157593037" w:history="1">
            <w:r w:rsidR="008979B5" w:rsidRPr="00453541">
              <w:rPr>
                <w:rStyle w:val="Hypertextovodkaz"/>
                <w:noProof/>
              </w:rPr>
              <w:t>2.1b) Předpokládaná hodnota smlouvy</w:t>
            </w:r>
            <w:r w:rsidR="008979B5">
              <w:rPr>
                <w:noProof/>
                <w:webHidden/>
              </w:rPr>
              <w:tab/>
            </w:r>
            <w:r w:rsidR="008979B5">
              <w:rPr>
                <w:noProof/>
                <w:webHidden/>
              </w:rPr>
              <w:fldChar w:fldCharType="begin"/>
            </w:r>
            <w:r w:rsidR="008979B5">
              <w:rPr>
                <w:noProof/>
                <w:webHidden/>
              </w:rPr>
              <w:instrText xml:space="preserve"> PAGEREF _Toc157593037 \h </w:instrText>
            </w:r>
            <w:r w:rsidR="008979B5">
              <w:rPr>
                <w:noProof/>
                <w:webHidden/>
              </w:rPr>
            </w:r>
            <w:r w:rsidR="008979B5">
              <w:rPr>
                <w:noProof/>
                <w:webHidden/>
              </w:rPr>
              <w:fldChar w:fldCharType="separate"/>
            </w:r>
            <w:r w:rsidR="008979B5">
              <w:rPr>
                <w:noProof/>
                <w:webHidden/>
              </w:rPr>
              <w:t>5</w:t>
            </w:r>
            <w:r w:rsidR="008979B5">
              <w:rPr>
                <w:noProof/>
                <w:webHidden/>
              </w:rPr>
              <w:fldChar w:fldCharType="end"/>
            </w:r>
          </w:hyperlink>
        </w:p>
        <w:p w14:paraId="74B87733" w14:textId="699A6E75" w:rsidR="008979B5" w:rsidRDefault="0087603B">
          <w:pPr>
            <w:pStyle w:val="Obsah3"/>
            <w:tabs>
              <w:tab w:val="right" w:pos="9062"/>
            </w:tabs>
            <w:rPr>
              <w:rFonts w:cstheme="minorBidi"/>
              <w:noProof/>
            </w:rPr>
          </w:pPr>
          <w:hyperlink w:anchor="_Toc157593038" w:history="1">
            <w:r w:rsidR="008979B5" w:rsidRPr="00453541">
              <w:rPr>
                <w:rStyle w:val="Hypertextovodkaz"/>
                <w:noProof/>
              </w:rPr>
              <w:t>2.1c) Způsob zadání</w:t>
            </w:r>
            <w:r w:rsidR="008979B5">
              <w:rPr>
                <w:noProof/>
                <w:webHidden/>
              </w:rPr>
              <w:tab/>
            </w:r>
            <w:r w:rsidR="008979B5">
              <w:rPr>
                <w:noProof/>
                <w:webHidden/>
              </w:rPr>
              <w:fldChar w:fldCharType="begin"/>
            </w:r>
            <w:r w:rsidR="008979B5">
              <w:rPr>
                <w:noProof/>
                <w:webHidden/>
              </w:rPr>
              <w:instrText xml:space="preserve"> PAGEREF _Toc157593038 \h </w:instrText>
            </w:r>
            <w:r w:rsidR="008979B5">
              <w:rPr>
                <w:noProof/>
                <w:webHidden/>
              </w:rPr>
            </w:r>
            <w:r w:rsidR="008979B5">
              <w:rPr>
                <w:noProof/>
                <w:webHidden/>
              </w:rPr>
              <w:fldChar w:fldCharType="separate"/>
            </w:r>
            <w:r w:rsidR="008979B5">
              <w:rPr>
                <w:noProof/>
                <w:webHidden/>
              </w:rPr>
              <w:t>6</w:t>
            </w:r>
            <w:r w:rsidR="008979B5">
              <w:rPr>
                <w:noProof/>
                <w:webHidden/>
              </w:rPr>
              <w:fldChar w:fldCharType="end"/>
            </w:r>
          </w:hyperlink>
        </w:p>
        <w:p w14:paraId="63C1CF52" w14:textId="2CAC4E34" w:rsidR="008979B5" w:rsidRDefault="0087603B">
          <w:pPr>
            <w:pStyle w:val="Obsah3"/>
            <w:tabs>
              <w:tab w:val="right" w:pos="9062"/>
            </w:tabs>
            <w:rPr>
              <w:rFonts w:cstheme="minorBidi"/>
              <w:noProof/>
            </w:rPr>
          </w:pPr>
          <w:hyperlink w:anchor="_Toc157593039" w:history="1">
            <w:r w:rsidR="008979B5" w:rsidRPr="00453541">
              <w:rPr>
                <w:rStyle w:val="Hypertextovodkaz"/>
                <w:noProof/>
              </w:rPr>
              <w:t>2.1d) Předmět smlouvy</w:t>
            </w:r>
            <w:r w:rsidR="008979B5">
              <w:rPr>
                <w:noProof/>
                <w:webHidden/>
              </w:rPr>
              <w:tab/>
            </w:r>
            <w:r w:rsidR="008979B5">
              <w:rPr>
                <w:noProof/>
                <w:webHidden/>
              </w:rPr>
              <w:fldChar w:fldCharType="begin"/>
            </w:r>
            <w:r w:rsidR="008979B5">
              <w:rPr>
                <w:noProof/>
                <w:webHidden/>
              </w:rPr>
              <w:instrText xml:space="preserve"> PAGEREF _Toc157593039 \h </w:instrText>
            </w:r>
            <w:r w:rsidR="008979B5">
              <w:rPr>
                <w:noProof/>
                <w:webHidden/>
              </w:rPr>
            </w:r>
            <w:r w:rsidR="008979B5">
              <w:rPr>
                <w:noProof/>
                <w:webHidden/>
              </w:rPr>
              <w:fldChar w:fldCharType="separate"/>
            </w:r>
            <w:r w:rsidR="008979B5">
              <w:rPr>
                <w:noProof/>
                <w:webHidden/>
              </w:rPr>
              <w:t>6</w:t>
            </w:r>
            <w:r w:rsidR="008979B5">
              <w:rPr>
                <w:noProof/>
                <w:webHidden/>
              </w:rPr>
              <w:fldChar w:fldCharType="end"/>
            </w:r>
          </w:hyperlink>
        </w:p>
        <w:p w14:paraId="1D3B56EE" w14:textId="47EF469F" w:rsidR="008979B5" w:rsidRDefault="0087603B">
          <w:pPr>
            <w:pStyle w:val="Obsah3"/>
            <w:tabs>
              <w:tab w:val="right" w:pos="9062"/>
            </w:tabs>
            <w:rPr>
              <w:rFonts w:cstheme="minorBidi"/>
              <w:noProof/>
            </w:rPr>
          </w:pPr>
          <w:hyperlink w:anchor="_Toc157593040" w:history="1">
            <w:r w:rsidR="008979B5" w:rsidRPr="00453541">
              <w:rPr>
                <w:rStyle w:val="Hypertextovodkaz"/>
                <w:noProof/>
              </w:rPr>
              <w:t>2.1e) Časový aspekt</w:t>
            </w:r>
            <w:r w:rsidR="008979B5">
              <w:rPr>
                <w:noProof/>
                <w:webHidden/>
              </w:rPr>
              <w:tab/>
            </w:r>
            <w:r w:rsidR="008979B5">
              <w:rPr>
                <w:noProof/>
                <w:webHidden/>
              </w:rPr>
              <w:fldChar w:fldCharType="begin"/>
            </w:r>
            <w:r w:rsidR="008979B5">
              <w:rPr>
                <w:noProof/>
                <w:webHidden/>
              </w:rPr>
              <w:instrText xml:space="preserve"> PAGEREF _Toc157593040 \h </w:instrText>
            </w:r>
            <w:r w:rsidR="008979B5">
              <w:rPr>
                <w:noProof/>
                <w:webHidden/>
              </w:rPr>
            </w:r>
            <w:r w:rsidR="008979B5">
              <w:rPr>
                <w:noProof/>
                <w:webHidden/>
              </w:rPr>
              <w:fldChar w:fldCharType="separate"/>
            </w:r>
            <w:r w:rsidR="008979B5">
              <w:rPr>
                <w:noProof/>
                <w:webHidden/>
              </w:rPr>
              <w:t>7</w:t>
            </w:r>
            <w:r w:rsidR="008979B5">
              <w:rPr>
                <w:noProof/>
                <w:webHidden/>
              </w:rPr>
              <w:fldChar w:fldCharType="end"/>
            </w:r>
          </w:hyperlink>
        </w:p>
        <w:p w14:paraId="0882AFA6" w14:textId="21226BB7" w:rsidR="008979B5" w:rsidRDefault="0087603B">
          <w:pPr>
            <w:pStyle w:val="Obsah2"/>
            <w:tabs>
              <w:tab w:val="right" w:pos="9062"/>
            </w:tabs>
            <w:rPr>
              <w:rFonts w:cstheme="minorBidi"/>
              <w:noProof/>
            </w:rPr>
          </w:pPr>
          <w:hyperlink w:anchor="_Toc157593041" w:history="1">
            <w:r w:rsidR="008979B5" w:rsidRPr="00453541">
              <w:rPr>
                <w:rStyle w:val="Hypertextovodkaz"/>
                <w:noProof/>
              </w:rPr>
              <w:t>2.2. Působnost ZPNV ve vztahu k druhům silničních vozidel</w:t>
            </w:r>
            <w:r w:rsidR="008979B5">
              <w:rPr>
                <w:noProof/>
                <w:webHidden/>
              </w:rPr>
              <w:tab/>
            </w:r>
            <w:r w:rsidR="008979B5">
              <w:rPr>
                <w:noProof/>
                <w:webHidden/>
              </w:rPr>
              <w:fldChar w:fldCharType="begin"/>
            </w:r>
            <w:r w:rsidR="008979B5">
              <w:rPr>
                <w:noProof/>
                <w:webHidden/>
              </w:rPr>
              <w:instrText xml:space="preserve"> PAGEREF _Toc157593041 \h </w:instrText>
            </w:r>
            <w:r w:rsidR="008979B5">
              <w:rPr>
                <w:noProof/>
                <w:webHidden/>
              </w:rPr>
            </w:r>
            <w:r w:rsidR="008979B5">
              <w:rPr>
                <w:noProof/>
                <w:webHidden/>
              </w:rPr>
              <w:fldChar w:fldCharType="separate"/>
            </w:r>
            <w:r w:rsidR="008979B5">
              <w:rPr>
                <w:noProof/>
                <w:webHidden/>
              </w:rPr>
              <w:t>8</w:t>
            </w:r>
            <w:r w:rsidR="008979B5">
              <w:rPr>
                <w:noProof/>
                <w:webHidden/>
              </w:rPr>
              <w:fldChar w:fldCharType="end"/>
            </w:r>
          </w:hyperlink>
        </w:p>
        <w:p w14:paraId="189915D9" w14:textId="2738BF6C" w:rsidR="008979B5" w:rsidRDefault="0087603B">
          <w:pPr>
            <w:pStyle w:val="Obsah3"/>
            <w:tabs>
              <w:tab w:val="right" w:pos="9062"/>
            </w:tabs>
            <w:rPr>
              <w:rFonts w:cstheme="minorBidi"/>
              <w:noProof/>
            </w:rPr>
          </w:pPr>
          <w:hyperlink w:anchor="_Toc157593042" w:history="1">
            <w:r w:rsidR="008979B5" w:rsidRPr="00453541">
              <w:rPr>
                <w:rStyle w:val="Hypertextovodkaz"/>
                <w:noProof/>
              </w:rPr>
              <w:t>2.2a) Působnost dle kategorií vozidel</w:t>
            </w:r>
            <w:r w:rsidR="008979B5">
              <w:rPr>
                <w:noProof/>
                <w:webHidden/>
              </w:rPr>
              <w:tab/>
            </w:r>
            <w:r w:rsidR="008979B5">
              <w:rPr>
                <w:noProof/>
                <w:webHidden/>
              </w:rPr>
              <w:fldChar w:fldCharType="begin"/>
            </w:r>
            <w:r w:rsidR="008979B5">
              <w:rPr>
                <w:noProof/>
                <w:webHidden/>
              </w:rPr>
              <w:instrText xml:space="preserve"> PAGEREF _Toc157593042 \h </w:instrText>
            </w:r>
            <w:r w:rsidR="008979B5">
              <w:rPr>
                <w:noProof/>
                <w:webHidden/>
              </w:rPr>
            </w:r>
            <w:r w:rsidR="008979B5">
              <w:rPr>
                <w:noProof/>
                <w:webHidden/>
              </w:rPr>
              <w:fldChar w:fldCharType="separate"/>
            </w:r>
            <w:r w:rsidR="008979B5">
              <w:rPr>
                <w:noProof/>
                <w:webHidden/>
              </w:rPr>
              <w:t>8</w:t>
            </w:r>
            <w:r w:rsidR="008979B5">
              <w:rPr>
                <w:noProof/>
                <w:webHidden/>
              </w:rPr>
              <w:fldChar w:fldCharType="end"/>
            </w:r>
          </w:hyperlink>
        </w:p>
        <w:p w14:paraId="43E7F58E" w14:textId="3419D0FF" w:rsidR="008979B5" w:rsidRDefault="0087603B">
          <w:pPr>
            <w:pStyle w:val="Obsah3"/>
            <w:tabs>
              <w:tab w:val="right" w:pos="9062"/>
            </w:tabs>
            <w:rPr>
              <w:rFonts w:cstheme="minorBidi"/>
              <w:noProof/>
            </w:rPr>
          </w:pPr>
          <w:hyperlink w:anchor="_Toc157593043" w:history="1">
            <w:r w:rsidR="008979B5" w:rsidRPr="00453541">
              <w:rPr>
                <w:rStyle w:val="Hypertextovodkaz"/>
                <w:noProof/>
              </w:rPr>
              <w:t>2.2b) Výjimky z působnosti ZPNV ve vztahu ke zvláštním druhům silničních vozidel</w:t>
            </w:r>
            <w:r w:rsidR="008979B5">
              <w:rPr>
                <w:noProof/>
                <w:webHidden/>
              </w:rPr>
              <w:tab/>
            </w:r>
            <w:r w:rsidR="008979B5">
              <w:rPr>
                <w:noProof/>
                <w:webHidden/>
              </w:rPr>
              <w:fldChar w:fldCharType="begin"/>
            </w:r>
            <w:r w:rsidR="008979B5">
              <w:rPr>
                <w:noProof/>
                <w:webHidden/>
              </w:rPr>
              <w:instrText xml:space="preserve"> PAGEREF _Toc157593043 \h </w:instrText>
            </w:r>
            <w:r w:rsidR="008979B5">
              <w:rPr>
                <w:noProof/>
                <w:webHidden/>
              </w:rPr>
            </w:r>
            <w:r w:rsidR="008979B5">
              <w:rPr>
                <w:noProof/>
                <w:webHidden/>
              </w:rPr>
              <w:fldChar w:fldCharType="separate"/>
            </w:r>
            <w:r w:rsidR="008979B5">
              <w:rPr>
                <w:noProof/>
                <w:webHidden/>
              </w:rPr>
              <w:t>8</w:t>
            </w:r>
            <w:r w:rsidR="008979B5">
              <w:rPr>
                <w:noProof/>
                <w:webHidden/>
              </w:rPr>
              <w:fldChar w:fldCharType="end"/>
            </w:r>
          </w:hyperlink>
        </w:p>
        <w:p w14:paraId="34C42C9E" w14:textId="689E3A59" w:rsidR="008979B5" w:rsidRDefault="0087603B">
          <w:pPr>
            <w:pStyle w:val="Obsah1"/>
            <w:rPr>
              <w:rFonts w:cstheme="minorBidi"/>
              <w:b w:val="0"/>
            </w:rPr>
          </w:pPr>
          <w:hyperlink w:anchor="_Toc157593044" w:history="1">
            <w:r w:rsidR="008979B5" w:rsidRPr="00453541">
              <w:rPr>
                <w:rStyle w:val="Hypertextovodkaz"/>
              </w:rPr>
              <w:t>3. Minimální podíl nízkoemisních vozidel</w:t>
            </w:r>
            <w:r w:rsidR="008979B5">
              <w:rPr>
                <w:webHidden/>
              </w:rPr>
              <w:tab/>
            </w:r>
            <w:r w:rsidR="008979B5">
              <w:rPr>
                <w:webHidden/>
              </w:rPr>
              <w:fldChar w:fldCharType="begin"/>
            </w:r>
            <w:r w:rsidR="008979B5">
              <w:rPr>
                <w:webHidden/>
              </w:rPr>
              <w:instrText xml:space="preserve"> PAGEREF _Toc157593044 \h </w:instrText>
            </w:r>
            <w:r w:rsidR="008979B5">
              <w:rPr>
                <w:webHidden/>
              </w:rPr>
            </w:r>
            <w:r w:rsidR="008979B5">
              <w:rPr>
                <w:webHidden/>
              </w:rPr>
              <w:fldChar w:fldCharType="separate"/>
            </w:r>
            <w:r w:rsidR="008979B5">
              <w:rPr>
                <w:webHidden/>
              </w:rPr>
              <w:t>9</w:t>
            </w:r>
            <w:r w:rsidR="008979B5">
              <w:rPr>
                <w:webHidden/>
              </w:rPr>
              <w:fldChar w:fldCharType="end"/>
            </w:r>
          </w:hyperlink>
        </w:p>
        <w:p w14:paraId="64F06FAE" w14:textId="4D06B3DD" w:rsidR="008979B5" w:rsidRDefault="0087603B">
          <w:pPr>
            <w:pStyle w:val="Obsah2"/>
            <w:tabs>
              <w:tab w:val="right" w:pos="9062"/>
            </w:tabs>
            <w:rPr>
              <w:rFonts w:cstheme="minorBidi"/>
              <w:noProof/>
            </w:rPr>
          </w:pPr>
          <w:hyperlink w:anchor="_Toc157593045" w:history="1">
            <w:r w:rsidR="008979B5" w:rsidRPr="00453541">
              <w:rPr>
                <w:rStyle w:val="Hypertextovodkaz"/>
                <w:noProof/>
              </w:rPr>
              <w:t>3.1. Principy výpočtu minimálního podílu nízkoemisních vozidel</w:t>
            </w:r>
            <w:r w:rsidR="008979B5">
              <w:rPr>
                <w:noProof/>
                <w:webHidden/>
              </w:rPr>
              <w:tab/>
            </w:r>
            <w:r w:rsidR="008979B5">
              <w:rPr>
                <w:noProof/>
                <w:webHidden/>
              </w:rPr>
              <w:fldChar w:fldCharType="begin"/>
            </w:r>
            <w:r w:rsidR="008979B5">
              <w:rPr>
                <w:noProof/>
                <w:webHidden/>
              </w:rPr>
              <w:instrText xml:space="preserve"> PAGEREF _Toc157593045 \h </w:instrText>
            </w:r>
            <w:r w:rsidR="008979B5">
              <w:rPr>
                <w:noProof/>
                <w:webHidden/>
              </w:rPr>
            </w:r>
            <w:r w:rsidR="008979B5">
              <w:rPr>
                <w:noProof/>
                <w:webHidden/>
              </w:rPr>
              <w:fldChar w:fldCharType="separate"/>
            </w:r>
            <w:r w:rsidR="008979B5">
              <w:rPr>
                <w:noProof/>
                <w:webHidden/>
              </w:rPr>
              <w:t>9</w:t>
            </w:r>
            <w:r w:rsidR="008979B5">
              <w:rPr>
                <w:noProof/>
                <w:webHidden/>
              </w:rPr>
              <w:fldChar w:fldCharType="end"/>
            </w:r>
          </w:hyperlink>
        </w:p>
        <w:p w14:paraId="76F94E95" w14:textId="16902E0C" w:rsidR="008979B5" w:rsidRDefault="0087603B">
          <w:pPr>
            <w:pStyle w:val="Obsah2"/>
            <w:tabs>
              <w:tab w:val="right" w:pos="9062"/>
            </w:tabs>
            <w:rPr>
              <w:rFonts w:cstheme="minorBidi"/>
              <w:noProof/>
            </w:rPr>
          </w:pPr>
          <w:hyperlink w:anchor="_Toc157593046" w:history="1">
            <w:r w:rsidR="008979B5" w:rsidRPr="00453541">
              <w:rPr>
                <w:rStyle w:val="Hypertextovodkaz"/>
                <w:noProof/>
              </w:rPr>
              <w:t>3.2. Minimální podíly nízkoemisních vozidel při centralizovaném zadávání</w:t>
            </w:r>
            <w:r w:rsidR="008979B5">
              <w:rPr>
                <w:noProof/>
                <w:webHidden/>
              </w:rPr>
              <w:tab/>
            </w:r>
            <w:r w:rsidR="008979B5">
              <w:rPr>
                <w:noProof/>
                <w:webHidden/>
              </w:rPr>
              <w:fldChar w:fldCharType="begin"/>
            </w:r>
            <w:r w:rsidR="008979B5">
              <w:rPr>
                <w:noProof/>
                <w:webHidden/>
              </w:rPr>
              <w:instrText xml:space="preserve"> PAGEREF _Toc157593046 \h </w:instrText>
            </w:r>
            <w:r w:rsidR="008979B5">
              <w:rPr>
                <w:noProof/>
                <w:webHidden/>
              </w:rPr>
            </w:r>
            <w:r w:rsidR="008979B5">
              <w:rPr>
                <w:noProof/>
                <w:webHidden/>
              </w:rPr>
              <w:fldChar w:fldCharType="separate"/>
            </w:r>
            <w:r w:rsidR="008979B5">
              <w:rPr>
                <w:noProof/>
                <w:webHidden/>
              </w:rPr>
              <w:t>10</w:t>
            </w:r>
            <w:r w:rsidR="008979B5">
              <w:rPr>
                <w:noProof/>
                <w:webHidden/>
              </w:rPr>
              <w:fldChar w:fldCharType="end"/>
            </w:r>
          </w:hyperlink>
        </w:p>
        <w:p w14:paraId="5548AB4E" w14:textId="2AD48249" w:rsidR="008979B5" w:rsidRDefault="0087603B">
          <w:pPr>
            <w:pStyle w:val="Obsah2"/>
            <w:tabs>
              <w:tab w:val="right" w:pos="9062"/>
            </w:tabs>
            <w:rPr>
              <w:rFonts w:cstheme="minorBidi"/>
              <w:noProof/>
            </w:rPr>
          </w:pPr>
          <w:hyperlink w:anchor="_Toc157593047" w:history="1">
            <w:r w:rsidR="008979B5" w:rsidRPr="00453541">
              <w:rPr>
                <w:rStyle w:val="Hypertextovodkaz"/>
                <w:noProof/>
              </w:rPr>
              <w:t>3.3. Naplňování podílu nízkoemisních vozidel na základě smluv o veřejných službách v přepravě cestujících</w:t>
            </w:r>
            <w:r w:rsidR="008979B5">
              <w:rPr>
                <w:noProof/>
                <w:webHidden/>
              </w:rPr>
              <w:tab/>
            </w:r>
            <w:r w:rsidR="008979B5">
              <w:rPr>
                <w:noProof/>
                <w:webHidden/>
              </w:rPr>
              <w:fldChar w:fldCharType="begin"/>
            </w:r>
            <w:r w:rsidR="008979B5">
              <w:rPr>
                <w:noProof/>
                <w:webHidden/>
              </w:rPr>
              <w:instrText xml:space="preserve"> PAGEREF _Toc157593047 \h </w:instrText>
            </w:r>
            <w:r w:rsidR="008979B5">
              <w:rPr>
                <w:noProof/>
                <w:webHidden/>
              </w:rPr>
            </w:r>
            <w:r w:rsidR="008979B5">
              <w:rPr>
                <w:noProof/>
                <w:webHidden/>
              </w:rPr>
              <w:fldChar w:fldCharType="separate"/>
            </w:r>
            <w:r w:rsidR="008979B5">
              <w:rPr>
                <w:noProof/>
                <w:webHidden/>
              </w:rPr>
              <w:t>11</w:t>
            </w:r>
            <w:r w:rsidR="008979B5">
              <w:rPr>
                <w:noProof/>
                <w:webHidden/>
              </w:rPr>
              <w:fldChar w:fldCharType="end"/>
            </w:r>
          </w:hyperlink>
        </w:p>
        <w:p w14:paraId="5FE0AEDE" w14:textId="1684885A" w:rsidR="008979B5" w:rsidRDefault="0087603B">
          <w:pPr>
            <w:pStyle w:val="Obsah1"/>
            <w:rPr>
              <w:rFonts w:cstheme="minorBidi"/>
              <w:b w:val="0"/>
            </w:rPr>
          </w:pPr>
          <w:hyperlink w:anchor="_Toc157593048" w:history="1">
            <w:r w:rsidR="008979B5" w:rsidRPr="00453541">
              <w:rPr>
                <w:rStyle w:val="Hypertextovodkaz"/>
              </w:rPr>
              <w:t>4. Definice nízkoemisního vozidla a vozidla splňujícího podmínky podle § 4 odst. 4 ZPNV</w:t>
            </w:r>
            <w:r w:rsidR="008979B5">
              <w:rPr>
                <w:webHidden/>
              </w:rPr>
              <w:tab/>
            </w:r>
            <w:r w:rsidR="008979B5">
              <w:rPr>
                <w:webHidden/>
              </w:rPr>
              <w:fldChar w:fldCharType="begin"/>
            </w:r>
            <w:r w:rsidR="008979B5">
              <w:rPr>
                <w:webHidden/>
              </w:rPr>
              <w:instrText xml:space="preserve"> PAGEREF _Toc157593048 \h </w:instrText>
            </w:r>
            <w:r w:rsidR="008979B5">
              <w:rPr>
                <w:webHidden/>
              </w:rPr>
            </w:r>
            <w:r w:rsidR="008979B5">
              <w:rPr>
                <w:webHidden/>
              </w:rPr>
              <w:fldChar w:fldCharType="separate"/>
            </w:r>
            <w:r w:rsidR="008979B5">
              <w:rPr>
                <w:webHidden/>
              </w:rPr>
              <w:t>11</w:t>
            </w:r>
            <w:r w:rsidR="008979B5">
              <w:rPr>
                <w:webHidden/>
              </w:rPr>
              <w:fldChar w:fldCharType="end"/>
            </w:r>
          </w:hyperlink>
        </w:p>
        <w:p w14:paraId="49A16B31" w14:textId="1BDE3471" w:rsidR="008979B5" w:rsidRDefault="0087603B">
          <w:pPr>
            <w:pStyle w:val="Obsah2"/>
            <w:tabs>
              <w:tab w:val="right" w:pos="9062"/>
            </w:tabs>
            <w:rPr>
              <w:rFonts w:cstheme="minorBidi"/>
              <w:noProof/>
            </w:rPr>
          </w:pPr>
          <w:hyperlink w:anchor="_Toc157593049" w:history="1">
            <w:r w:rsidR="008979B5" w:rsidRPr="00453541">
              <w:rPr>
                <w:rStyle w:val="Hypertextovodkaz"/>
                <w:noProof/>
              </w:rPr>
              <w:t>4.1. Nízkoemisní vozidla kategorie M1, M2 a N1</w:t>
            </w:r>
            <w:r w:rsidR="008979B5">
              <w:rPr>
                <w:noProof/>
                <w:webHidden/>
              </w:rPr>
              <w:tab/>
            </w:r>
            <w:r w:rsidR="008979B5">
              <w:rPr>
                <w:noProof/>
                <w:webHidden/>
              </w:rPr>
              <w:fldChar w:fldCharType="begin"/>
            </w:r>
            <w:r w:rsidR="008979B5">
              <w:rPr>
                <w:noProof/>
                <w:webHidden/>
              </w:rPr>
              <w:instrText xml:space="preserve"> PAGEREF _Toc157593049 \h </w:instrText>
            </w:r>
            <w:r w:rsidR="008979B5">
              <w:rPr>
                <w:noProof/>
                <w:webHidden/>
              </w:rPr>
            </w:r>
            <w:r w:rsidR="008979B5">
              <w:rPr>
                <w:noProof/>
                <w:webHidden/>
              </w:rPr>
              <w:fldChar w:fldCharType="separate"/>
            </w:r>
            <w:r w:rsidR="008979B5">
              <w:rPr>
                <w:noProof/>
                <w:webHidden/>
              </w:rPr>
              <w:t>11</w:t>
            </w:r>
            <w:r w:rsidR="008979B5">
              <w:rPr>
                <w:noProof/>
                <w:webHidden/>
              </w:rPr>
              <w:fldChar w:fldCharType="end"/>
            </w:r>
          </w:hyperlink>
        </w:p>
        <w:p w14:paraId="509A09E5" w14:textId="33FEC92A" w:rsidR="008979B5" w:rsidRDefault="0087603B">
          <w:pPr>
            <w:pStyle w:val="Obsah2"/>
            <w:tabs>
              <w:tab w:val="right" w:pos="9062"/>
            </w:tabs>
            <w:rPr>
              <w:rFonts w:cstheme="minorBidi"/>
              <w:noProof/>
            </w:rPr>
          </w:pPr>
          <w:hyperlink w:anchor="_Toc157593050" w:history="1">
            <w:r w:rsidR="008979B5" w:rsidRPr="00453541">
              <w:rPr>
                <w:rStyle w:val="Hypertextovodkaz"/>
                <w:noProof/>
              </w:rPr>
              <w:t>4.2. Nízkoemisní vozidla u kategorie M3 třídy I, M3 třídy A, N2, N3 a u trolejbusů</w:t>
            </w:r>
            <w:r w:rsidR="008979B5">
              <w:rPr>
                <w:noProof/>
                <w:webHidden/>
              </w:rPr>
              <w:tab/>
            </w:r>
            <w:r w:rsidR="008979B5">
              <w:rPr>
                <w:noProof/>
                <w:webHidden/>
              </w:rPr>
              <w:fldChar w:fldCharType="begin"/>
            </w:r>
            <w:r w:rsidR="008979B5">
              <w:rPr>
                <w:noProof/>
                <w:webHidden/>
              </w:rPr>
              <w:instrText xml:space="preserve"> PAGEREF _Toc157593050 \h </w:instrText>
            </w:r>
            <w:r w:rsidR="008979B5">
              <w:rPr>
                <w:noProof/>
                <w:webHidden/>
              </w:rPr>
            </w:r>
            <w:r w:rsidR="008979B5">
              <w:rPr>
                <w:noProof/>
                <w:webHidden/>
              </w:rPr>
              <w:fldChar w:fldCharType="separate"/>
            </w:r>
            <w:r w:rsidR="008979B5">
              <w:rPr>
                <w:noProof/>
                <w:webHidden/>
              </w:rPr>
              <w:t>11</w:t>
            </w:r>
            <w:r w:rsidR="008979B5">
              <w:rPr>
                <w:noProof/>
                <w:webHidden/>
              </w:rPr>
              <w:fldChar w:fldCharType="end"/>
            </w:r>
          </w:hyperlink>
        </w:p>
        <w:p w14:paraId="407A80E4" w14:textId="3C9B669C" w:rsidR="008979B5" w:rsidRDefault="0087603B">
          <w:pPr>
            <w:pStyle w:val="Obsah2"/>
            <w:tabs>
              <w:tab w:val="right" w:pos="9062"/>
            </w:tabs>
            <w:rPr>
              <w:rFonts w:cstheme="minorBidi"/>
              <w:noProof/>
            </w:rPr>
          </w:pPr>
          <w:hyperlink w:anchor="_Toc157593051" w:history="1">
            <w:r w:rsidR="008979B5" w:rsidRPr="00453541">
              <w:rPr>
                <w:rStyle w:val="Hypertextovodkaz"/>
                <w:noProof/>
              </w:rPr>
              <w:t>4.3. „Bezemisní“ vozidla – vozidla splňující podmínky podle § 4 odst. 4 ZPNV</w:t>
            </w:r>
            <w:r w:rsidR="008979B5">
              <w:rPr>
                <w:noProof/>
                <w:webHidden/>
              </w:rPr>
              <w:tab/>
            </w:r>
            <w:r w:rsidR="008979B5">
              <w:rPr>
                <w:noProof/>
                <w:webHidden/>
              </w:rPr>
              <w:fldChar w:fldCharType="begin"/>
            </w:r>
            <w:r w:rsidR="008979B5">
              <w:rPr>
                <w:noProof/>
                <w:webHidden/>
              </w:rPr>
              <w:instrText xml:space="preserve"> PAGEREF _Toc157593051 \h </w:instrText>
            </w:r>
            <w:r w:rsidR="008979B5">
              <w:rPr>
                <w:noProof/>
                <w:webHidden/>
              </w:rPr>
            </w:r>
            <w:r w:rsidR="008979B5">
              <w:rPr>
                <w:noProof/>
                <w:webHidden/>
              </w:rPr>
              <w:fldChar w:fldCharType="separate"/>
            </w:r>
            <w:r w:rsidR="008979B5">
              <w:rPr>
                <w:noProof/>
                <w:webHidden/>
              </w:rPr>
              <w:t>12</w:t>
            </w:r>
            <w:r w:rsidR="008979B5">
              <w:rPr>
                <w:noProof/>
                <w:webHidden/>
              </w:rPr>
              <w:fldChar w:fldCharType="end"/>
            </w:r>
          </w:hyperlink>
        </w:p>
        <w:p w14:paraId="36AF777B" w14:textId="628D2EEA" w:rsidR="008979B5" w:rsidRDefault="0087603B">
          <w:pPr>
            <w:pStyle w:val="Obsah1"/>
            <w:rPr>
              <w:rFonts w:cstheme="minorBidi"/>
              <w:b w:val="0"/>
            </w:rPr>
          </w:pPr>
          <w:hyperlink w:anchor="_Toc157593052" w:history="1">
            <w:r w:rsidR="008979B5" w:rsidRPr="00453541">
              <w:rPr>
                <w:rStyle w:val="Hypertextovodkaz"/>
              </w:rPr>
              <w:t>5.  Vykazování plnění podílů nízkoemisních vozidel</w:t>
            </w:r>
            <w:r w:rsidR="008979B5">
              <w:rPr>
                <w:webHidden/>
              </w:rPr>
              <w:tab/>
            </w:r>
            <w:r w:rsidR="008979B5">
              <w:rPr>
                <w:webHidden/>
              </w:rPr>
              <w:fldChar w:fldCharType="begin"/>
            </w:r>
            <w:r w:rsidR="008979B5">
              <w:rPr>
                <w:webHidden/>
              </w:rPr>
              <w:instrText xml:space="preserve"> PAGEREF _Toc157593052 \h </w:instrText>
            </w:r>
            <w:r w:rsidR="008979B5">
              <w:rPr>
                <w:webHidden/>
              </w:rPr>
            </w:r>
            <w:r w:rsidR="008979B5">
              <w:rPr>
                <w:webHidden/>
              </w:rPr>
              <w:fldChar w:fldCharType="separate"/>
            </w:r>
            <w:r w:rsidR="008979B5">
              <w:rPr>
                <w:webHidden/>
              </w:rPr>
              <w:t>13</w:t>
            </w:r>
            <w:r w:rsidR="008979B5">
              <w:rPr>
                <w:webHidden/>
              </w:rPr>
              <w:fldChar w:fldCharType="end"/>
            </w:r>
          </w:hyperlink>
        </w:p>
        <w:p w14:paraId="04877C8F" w14:textId="15B430A9" w:rsidR="008979B5" w:rsidRDefault="0087603B">
          <w:pPr>
            <w:pStyle w:val="Obsah2"/>
            <w:tabs>
              <w:tab w:val="right" w:pos="9062"/>
            </w:tabs>
            <w:rPr>
              <w:rFonts w:cstheme="minorBidi"/>
              <w:noProof/>
            </w:rPr>
          </w:pPr>
          <w:hyperlink w:anchor="_Toc157593053" w:history="1">
            <w:r w:rsidR="008979B5" w:rsidRPr="00453541">
              <w:rPr>
                <w:rStyle w:val="Hypertextovodkaz"/>
                <w:noProof/>
              </w:rPr>
              <w:t>5.1. Vykazování u veřejných zakázek</w:t>
            </w:r>
            <w:r w:rsidR="008979B5">
              <w:rPr>
                <w:noProof/>
                <w:webHidden/>
              </w:rPr>
              <w:tab/>
            </w:r>
            <w:r w:rsidR="008979B5">
              <w:rPr>
                <w:noProof/>
                <w:webHidden/>
              </w:rPr>
              <w:fldChar w:fldCharType="begin"/>
            </w:r>
            <w:r w:rsidR="008979B5">
              <w:rPr>
                <w:noProof/>
                <w:webHidden/>
              </w:rPr>
              <w:instrText xml:space="preserve"> PAGEREF _Toc157593053 \h </w:instrText>
            </w:r>
            <w:r w:rsidR="008979B5">
              <w:rPr>
                <w:noProof/>
                <w:webHidden/>
              </w:rPr>
            </w:r>
            <w:r w:rsidR="008979B5">
              <w:rPr>
                <w:noProof/>
                <w:webHidden/>
              </w:rPr>
              <w:fldChar w:fldCharType="separate"/>
            </w:r>
            <w:r w:rsidR="008979B5">
              <w:rPr>
                <w:noProof/>
                <w:webHidden/>
              </w:rPr>
              <w:t>13</w:t>
            </w:r>
            <w:r w:rsidR="008979B5">
              <w:rPr>
                <w:noProof/>
                <w:webHidden/>
              </w:rPr>
              <w:fldChar w:fldCharType="end"/>
            </w:r>
          </w:hyperlink>
        </w:p>
        <w:p w14:paraId="5CC22961" w14:textId="3551835A" w:rsidR="008979B5" w:rsidRDefault="0087603B">
          <w:pPr>
            <w:pStyle w:val="Obsah3"/>
            <w:tabs>
              <w:tab w:val="right" w:pos="9062"/>
            </w:tabs>
            <w:rPr>
              <w:rFonts w:cstheme="minorBidi"/>
              <w:noProof/>
            </w:rPr>
          </w:pPr>
          <w:hyperlink w:anchor="_Toc157593054" w:history="1">
            <w:r w:rsidR="008979B5" w:rsidRPr="00453541">
              <w:rPr>
                <w:rStyle w:val="Hypertextovodkaz"/>
                <w:noProof/>
              </w:rPr>
              <w:t>5.1a) Vykazování podle Pravidel podpory nízkoemisních vozidel versus vykazování podle ZPNV</w:t>
            </w:r>
            <w:r w:rsidR="008979B5">
              <w:rPr>
                <w:noProof/>
                <w:webHidden/>
              </w:rPr>
              <w:tab/>
            </w:r>
            <w:r w:rsidR="008979B5">
              <w:rPr>
                <w:noProof/>
                <w:webHidden/>
              </w:rPr>
              <w:fldChar w:fldCharType="begin"/>
            </w:r>
            <w:r w:rsidR="008979B5">
              <w:rPr>
                <w:noProof/>
                <w:webHidden/>
              </w:rPr>
              <w:instrText xml:space="preserve"> PAGEREF _Toc157593054 \h </w:instrText>
            </w:r>
            <w:r w:rsidR="008979B5">
              <w:rPr>
                <w:noProof/>
                <w:webHidden/>
              </w:rPr>
            </w:r>
            <w:r w:rsidR="008979B5">
              <w:rPr>
                <w:noProof/>
                <w:webHidden/>
              </w:rPr>
              <w:fldChar w:fldCharType="separate"/>
            </w:r>
            <w:r w:rsidR="008979B5">
              <w:rPr>
                <w:noProof/>
                <w:webHidden/>
              </w:rPr>
              <w:t>13</w:t>
            </w:r>
            <w:r w:rsidR="008979B5">
              <w:rPr>
                <w:noProof/>
                <w:webHidden/>
              </w:rPr>
              <w:fldChar w:fldCharType="end"/>
            </w:r>
          </w:hyperlink>
        </w:p>
        <w:p w14:paraId="1FBA4741" w14:textId="1312014F" w:rsidR="008979B5" w:rsidRDefault="0087603B">
          <w:pPr>
            <w:pStyle w:val="Obsah3"/>
            <w:tabs>
              <w:tab w:val="left" w:pos="1320"/>
              <w:tab w:val="right" w:pos="9062"/>
            </w:tabs>
            <w:rPr>
              <w:rFonts w:cstheme="minorBidi"/>
              <w:noProof/>
            </w:rPr>
          </w:pPr>
          <w:hyperlink w:anchor="_Toc157593055" w:history="1">
            <w:r w:rsidR="008979B5" w:rsidRPr="00453541">
              <w:rPr>
                <w:rStyle w:val="Hypertextovodkaz"/>
                <w:noProof/>
              </w:rPr>
              <w:t>5.1b)</w:t>
            </w:r>
            <w:r w:rsidR="008979B5">
              <w:rPr>
                <w:rFonts w:cstheme="minorBidi"/>
                <w:noProof/>
              </w:rPr>
              <w:tab/>
            </w:r>
            <w:r w:rsidR="008979B5" w:rsidRPr="00453541">
              <w:rPr>
                <w:rStyle w:val="Hypertextovodkaz"/>
                <w:noProof/>
              </w:rPr>
              <w:t>Vykazování centrálním zadavatelem</w:t>
            </w:r>
            <w:r w:rsidR="008979B5">
              <w:rPr>
                <w:noProof/>
                <w:webHidden/>
              </w:rPr>
              <w:tab/>
            </w:r>
            <w:r w:rsidR="008979B5">
              <w:rPr>
                <w:noProof/>
                <w:webHidden/>
              </w:rPr>
              <w:fldChar w:fldCharType="begin"/>
            </w:r>
            <w:r w:rsidR="008979B5">
              <w:rPr>
                <w:noProof/>
                <w:webHidden/>
              </w:rPr>
              <w:instrText xml:space="preserve"> PAGEREF _Toc157593055 \h </w:instrText>
            </w:r>
            <w:r w:rsidR="008979B5">
              <w:rPr>
                <w:noProof/>
                <w:webHidden/>
              </w:rPr>
            </w:r>
            <w:r w:rsidR="008979B5">
              <w:rPr>
                <w:noProof/>
                <w:webHidden/>
              </w:rPr>
              <w:fldChar w:fldCharType="separate"/>
            </w:r>
            <w:r w:rsidR="008979B5">
              <w:rPr>
                <w:noProof/>
                <w:webHidden/>
              </w:rPr>
              <w:t>14</w:t>
            </w:r>
            <w:r w:rsidR="008979B5">
              <w:rPr>
                <w:noProof/>
                <w:webHidden/>
              </w:rPr>
              <w:fldChar w:fldCharType="end"/>
            </w:r>
          </w:hyperlink>
        </w:p>
        <w:p w14:paraId="484C5A5C" w14:textId="4D1E9BA9" w:rsidR="008979B5" w:rsidRDefault="0087603B">
          <w:pPr>
            <w:pStyle w:val="Obsah2"/>
            <w:tabs>
              <w:tab w:val="right" w:pos="9062"/>
            </w:tabs>
            <w:rPr>
              <w:rFonts w:cstheme="minorBidi"/>
              <w:noProof/>
            </w:rPr>
          </w:pPr>
          <w:hyperlink w:anchor="_Toc157593056" w:history="1">
            <w:r w:rsidR="008979B5" w:rsidRPr="00453541">
              <w:rPr>
                <w:rStyle w:val="Hypertextovodkaz"/>
                <w:noProof/>
              </w:rPr>
              <w:t>5.2. Vykazování u veřejných služeb v přepravě cestujících (které nejsou veřejnými zakázkami)</w:t>
            </w:r>
            <w:r w:rsidR="008979B5">
              <w:rPr>
                <w:noProof/>
                <w:webHidden/>
              </w:rPr>
              <w:tab/>
            </w:r>
            <w:r w:rsidR="008979B5">
              <w:rPr>
                <w:noProof/>
                <w:webHidden/>
              </w:rPr>
              <w:fldChar w:fldCharType="begin"/>
            </w:r>
            <w:r w:rsidR="008979B5">
              <w:rPr>
                <w:noProof/>
                <w:webHidden/>
              </w:rPr>
              <w:instrText xml:space="preserve"> PAGEREF _Toc157593056 \h </w:instrText>
            </w:r>
            <w:r w:rsidR="008979B5">
              <w:rPr>
                <w:noProof/>
                <w:webHidden/>
              </w:rPr>
            </w:r>
            <w:r w:rsidR="008979B5">
              <w:rPr>
                <w:noProof/>
                <w:webHidden/>
              </w:rPr>
              <w:fldChar w:fldCharType="separate"/>
            </w:r>
            <w:r w:rsidR="008979B5">
              <w:rPr>
                <w:noProof/>
                <w:webHidden/>
              </w:rPr>
              <w:t>14</w:t>
            </w:r>
            <w:r w:rsidR="008979B5">
              <w:rPr>
                <w:noProof/>
                <w:webHidden/>
              </w:rPr>
              <w:fldChar w:fldCharType="end"/>
            </w:r>
          </w:hyperlink>
        </w:p>
        <w:p w14:paraId="34335BC8" w14:textId="73070159" w:rsidR="008979B5" w:rsidRDefault="0087603B">
          <w:pPr>
            <w:pStyle w:val="Obsah2"/>
            <w:tabs>
              <w:tab w:val="right" w:pos="9062"/>
            </w:tabs>
            <w:rPr>
              <w:rFonts w:cstheme="minorBidi"/>
              <w:noProof/>
            </w:rPr>
          </w:pPr>
          <w:hyperlink w:anchor="_Toc157593057" w:history="1">
            <w:r w:rsidR="008979B5" w:rsidRPr="00453541">
              <w:rPr>
                <w:rStyle w:val="Hypertextovodkaz"/>
                <w:noProof/>
              </w:rPr>
              <w:t>5.3. Okamžik rozhodující pro posouzení splnění minimálních podílů nízkoemisních vozidel</w:t>
            </w:r>
            <w:r w:rsidR="008979B5">
              <w:rPr>
                <w:noProof/>
                <w:webHidden/>
              </w:rPr>
              <w:tab/>
            </w:r>
            <w:r w:rsidR="008979B5">
              <w:rPr>
                <w:noProof/>
                <w:webHidden/>
              </w:rPr>
              <w:fldChar w:fldCharType="begin"/>
            </w:r>
            <w:r w:rsidR="008979B5">
              <w:rPr>
                <w:noProof/>
                <w:webHidden/>
              </w:rPr>
              <w:instrText xml:space="preserve"> PAGEREF _Toc157593057 \h </w:instrText>
            </w:r>
            <w:r w:rsidR="008979B5">
              <w:rPr>
                <w:noProof/>
                <w:webHidden/>
              </w:rPr>
            </w:r>
            <w:r w:rsidR="008979B5">
              <w:rPr>
                <w:noProof/>
                <w:webHidden/>
              </w:rPr>
              <w:fldChar w:fldCharType="separate"/>
            </w:r>
            <w:r w:rsidR="008979B5">
              <w:rPr>
                <w:noProof/>
                <w:webHidden/>
              </w:rPr>
              <w:t>15</w:t>
            </w:r>
            <w:r w:rsidR="008979B5">
              <w:rPr>
                <w:noProof/>
                <w:webHidden/>
              </w:rPr>
              <w:fldChar w:fldCharType="end"/>
            </w:r>
          </w:hyperlink>
        </w:p>
        <w:p w14:paraId="3154D1C3" w14:textId="7C3FD773" w:rsidR="008979B5" w:rsidRDefault="0087603B">
          <w:pPr>
            <w:pStyle w:val="Obsah1"/>
            <w:rPr>
              <w:rFonts w:cstheme="minorBidi"/>
              <w:b w:val="0"/>
            </w:rPr>
          </w:pPr>
          <w:hyperlink w:anchor="_Toc157593058" w:history="1">
            <w:r w:rsidR="008979B5" w:rsidRPr="00453541">
              <w:rPr>
                <w:rStyle w:val="Hypertextovodkaz"/>
              </w:rPr>
              <w:t>6. Zvláštní možnosti – společné plnění podílů a náhradní plnění</w:t>
            </w:r>
            <w:r w:rsidR="008979B5">
              <w:rPr>
                <w:webHidden/>
              </w:rPr>
              <w:tab/>
            </w:r>
            <w:r w:rsidR="008979B5">
              <w:rPr>
                <w:webHidden/>
              </w:rPr>
              <w:fldChar w:fldCharType="begin"/>
            </w:r>
            <w:r w:rsidR="008979B5">
              <w:rPr>
                <w:webHidden/>
              </w:rPr>
              <w:instrText xml:space="preserve"> PAGEREF _Toc157593058 \h </w:instrText>
            </w:r>
            <w:r w:rsidR="008979B5">
              <w:rPr>
                <w:webHidden/>
              </w:rPr>
            </w:r>
            <w:r w:rsidR="008979B5">
              <w:rPr>
                <w:webHidden/>
              </w:rPr>
              <w:fldChar w:fldCharType="separate"/>
            </w:r>
            <w:r w:rsidR="008979B5">
              <w:rPr>
                <w:webHidden/>
              </w:rPr>
              <w:t>15</w:t>
            </w:r>
            <w:r w:rsidR="008979B5">
              <w:rPr>
                <w:webHidden/>
              </w:rPr>
              <w:fldChar w:fldCharType="end"/>
            </w:r>
          </w:hyperlink>
        </w:p>
        <w:p w14:paraId="1DFFF1F8" w14:textId="6BB7CA21" w:rsidR="008979B5" w:rsidRDefault="0087603B">
          <w:pPr>
            <w:pStyle w:val="Obsah2"/>
            <w:tabs>
              <w:tab w:val="right" w:pos="9062"/>
            </w:tabs>
            <w:rPr>
              <w:rFonts w:cstheme="minorBidi"/>
              <w:noProof/>
            </w:rPr>
          </w:pPr>
          <w:hyperlink w:anchor="_Toc157593059" w:history="1">
            <w:r w:rsidR="008979B5" w:rsidRPr="00453541">
              <w:rPr>
                <w:rStyle w:val="Hypertextovodkaz"/>
                <w:noProof/>
              </w:rPr>
              <w:t>6.1. Společné plnění podílů</w:t>
            </w:r>
            <w:r w:rsidR="008979B5">
              <w:rPr>
                <w:noProof/>
                <w:webHidden/>
              </w:rPr>
              <w:tab/>
            </w:r>
            <w:r w:rsidR="008979B5">
              <w:rPr>
                <w:noProof/>
                <w:webHidden/>
              </w:rPr>
              <w:fldChar w:fldCharType="begin"/>
            </w:r>
            <w:r w:rsidR="008979B5">
              <w:rPr>
                <w:noProof/>
                <w:webHidden/>
              </w:rPr>
              <w:instrText xml:space="preserve"> PAGEREF _Toc157593059 \h </w:instrText>
            </w:r>
            <w:r w:rsidR="008979B5">
              <w:rPr>
                <w:noProof/>
                <w:webHidden/>
              </w:rPr>
            </w:r>
            <w:r w:rsidR="008979B5">
              <w:rPr>
                <w:noProof/>
                <w:webHidden/>
              </w:rPr>
              <w:fldChar w:fldCharType="separate"/>
            </w:r>
            <w:r w:rsidR="008979B5">
              <w:rPr>
                <w:noProof/>
                <w:webHidden/>
              </w:rPr>
              <w:t>15</w:t>
            </w:r>
            <w:r w:rsidR="008979B5">
              <w:rPr>
                <w:noProof/>
                <w:webHidden/>
              </w:rPr>
              <w:fldChar w:fldCharType="end"/>
            </w:r>
          </w:hyperlink>
        </w:p>
        <w:p w14:paraId="7EF27F8C" w14:textId="612E7DC0" w:rsidR="008979B5" w:rsidRDefault="0087603B">
          <w:pPr>
            <w:pStyle w:val="Obsah2"/>
            <w:tabs>
              <w:tab w:val="right" w:pos="9062"/>
            </w:tabs>
            <w:rPr>
              <w:rFonts w:cstheme="minorBidi"/>
              <w:noProof/>
            </w:rPr>
          </w:pPr>
          <w:hyperlink w:anchor="_Toc157593060" w:history="1">
            <w:r w:rsidR="008979B5" w:rsidRPr="00453541">
              <w:rPr>
                <w:rStyle w:val="Hypertextovodkaz"/>
                <w:noProof/>
              </w:rPr>
              <w:t>6.2. Náhradní plnění podílů</w:t>
            </w:r>
            <w:r w:rsidR="008979B5">
              <w:rPr>
                <w:noProof/>
                <w:webHidden/>
              </w:rPr>
              <w:tab/>
            </w:r>
            <w:r w:rsidR="008979B5">
              <w:rPr>
                <w:noProof/>
                <w:webHidden/>
              </w:rPr>
              <w:fldChar w:fldCharType="begin"/>
            </w:r>
            <w:r w:rsidR="008979B5">
              <w:rPr>
                <w:noProof/>
                <w:webHidden/>
              </w:rPr>
              <w:instrText xml:space="preserve"> PAGEREF _Toc157593060 \h </w:instrText>
            </w:r>
            <w:r w:rsidR="008979B5">
              <w:rPr>
                <w:noProof/>
                <w:webHidden/>
              </w:rPr>
            </w:r>
            <w:r w:rsidR="008979B5">
              <w:rPr>
                <w:noProof/>
                <w:webHidden/>
              </w:rPr>
              <w:fldChar w:fldCharType="separate"/>
            </w:r>
            <w:r w:rsidR="008979B5">
              <w:rPr>
                <w:noProof/>
                <w:webHidden/>
              </w:rPr>
              <w:t>16</w:t>
            </w:r>
            <w:r w:rsidR="008979B5">
              <w:rPr>
                <w:noProof/>
                <w:webHidden/>
              </w:rPr>
              <w:fldChar w:fldCharType="end"/>
            </w:r>
          </w:hyperlink>
        </w:p>
        <w:p w14:paraId="25A79AD4" w14:textId="098DB0BA" w:rsidR="00C11393" w:rsidRDefault="00C11393">
          <w:r>
            <w:rPr>
              <w:b/>
              <w:bCs/>
            </w:rPr>
            <w:fldChar w:fldCharType="end"/>
          </w:r>
        </w:p>
      </w:sdtContent>
    </w:sdt>
    <w:p w14:paraId="29EB8804" w14:textId="77777777" w:rsidR="00FD42F9" w:rsidRDefault="00FD42F9" w:rsidP="007B0432">
      <w:pPr>
        <w:pStyle w:val="Odstavecseseznamem"/>
      </w:pPr>
    </w:p>
    <w:p w14:paraId="4BCDC27E" w14:textId="77777777" w:rsidR="00FD42F9" w:rsidRDefault="00FD42F9" w:rsidP="007B0432">
      <w:pPr>
        <w:pStyle w:val="Odstavecseseznamem"/>
      </w:pPr>
    </w:p>
    <w:p w14:paraId="2FAB28BA" w14:textId="77777777" w:rsidR="00FD42F9" w:rsidRDefault="00FD42F9" w:rsidP="007B0432">
      <w:pPr>
        <w:pStyle w:val="Odstavecseseznamem"/>
      </w:pPr>
    </w:p>
    <w:p w14:paraId="54462FF3" w14:textId="77777777" w:rsidR="00FD42F9" w:rsidRDefault="00FD42F9" w:rsidP="007B0432">
      <w:pPr>
        <w:pStyle w:val="Odstavecseseznamem"/>
      </w:pPr>
    </w:p>
    <w:p w14:paraId="23AA68F4" w14:textId="77777777" w:rsidR="00FD42F9" w:rsidRDefault="00FD42F9" w:rsidP="009A640B">
      <w:pPr>
        <w:pStyle w:val="Odstavecseseznamem"/>
      </w:pPr>
    </w:p>
    <w:p w14:paraId="5B890CCA" w14:textId="77777777" w:rsidR="00FD42F9" w:rsidRDefault="00FD42F9" w:rsidP="007B0432">
      <w:pPr>
        <w:pStyle w:val="Odstavecseseznamem"/>
      </w:pPr>
    </w:p>
    <w:p w14:paraId="33BC8B68" w14:textId="77777777" w:rsidR="00FD42F9" w:rsidRDefault="00FD42F9" w:rsidP="007B0432">
      <w:pPr>
        <w:pStyle w:val="Odstavecseseznamem"/>
      </w:pPr>
    </w:p>
    <w:p w14:paraId="633CEF71" w14:textId="77777777" w:rsidR="00FD42F9" w:rsidRDefault="00FD42F9" w:rsidP="007B0432">
      <w:pPr>
        <w:pStyle w:val="Odstavecseseznamem"/>
      </w:pPr>
    </w:p>
    <w:p w14:paraId="33BABA03" w14:textId="77777777" w:rsidR="00FD42F9" w:rsidRDefault="00FD42F9" w:rsidP="007B0432">
      <w:pPr>
        <w:pStyle w:val="Odstavecseseznamem"/>
      </w:pPr>
    </w:p>
    <w:p w14:paraId="1D7ED783" w14:textId="77777777" w:rsidR="00FD42F9" w:rsidRDefault="00FD42F9" w:rsidP="007B0432">
      <w:pPr>
        <w:pStyle w:val="Odstavecseseznamem"/>
      </w:pPr>
    </w:p>
    <w:p w14:paraId="261E8EF0" w14:textId="77777777" w:rsidR="00FD42F9" w:rsidRDefault="00FD42F9" w:rsidP="007B0432">
      <w:pPr>
        <w:pStyle w:val="Odstavecseseznamem"/>
      </w:pPr>
    </w:p>
    <w:p w14:paraId="7D5E5890" w14:textId="77777777" w:rsidR="00FD42F9" w:rsidRDefault="00FD42F9" w:rsidP="007B0432">
      <w:pPr>
        <w:pStyle w:val="Odstavecseseznamem"/>
      </w:pPr>
    </w:p>
    <w:p w14:paraId="2778822D" w14:textId="77777777" w:rsidR="00FD42F9" w:rsidRDefault="00FD42F9" w:rsidP="007B0432">
      <w:pPr>
        <w:pStyle w:val="Odstavecseseznamem"/>
      </w:pPr>
    </w:p>
    <w:p w14:paraId="5526C78C" w14:textId="77777777" w:rsidR="00FD42F9" w:rsidRDefault="00FD42F9" w:rsidP="007B0432">
      <w:pPr>
        <w:pStyle w:val="Odstavecseseznamem"/>
      </w:pPr>
    </w:p>
    <w:p w14:paraId="4BC21F79" w14:textId="0BC58809" w:rsidR="00FD42F9" w:rsidRDefault="00FD42F9" w:rsidP="007B0432">
      <w:pPr>
        <w:pStyle w:val="Odstavecseseznamem"/>
      </w:pPr>
    </w:p>
    <w:p w14:paraId="34006E14" w14:textId="2359E41F" w:rsidR="00DB1B32" w:rsidRDefault="00DB1B32" w:rsidP="007B0432">
      <w:pPr>
        <w:pStyle w:val="Odstavecseseznamem"/>
      </w:pPr>
    </w:p>
    <w:p w14:paraId="4A914BE8" w14:textId="333AFA31" w:rsidR="00DB1B32" w:rsidRDefault="00DB1B32" w:rsidP="007B0432">
      <w:pPr>
        <w:pStyle w:val="Odstavecseseznamem"/>
      </w:pPr>
    </w:p>
    <w:p w14:paraId="789CFD31" w14:textId="7FF3685C" w:rsidR="00DB1B32" w:rsidRDefault="00DB1B32" w:rsidP="007B0432">
      <w:pPr>
        <w:pStyle w:val="Odstavecseseznamem"/>
      </w:pPr>
    </w:p>
    <w:p w14:paraId="37F78C28" w14:textId="778AED44" w:rsidR="00DB1B32" w:rsidRDefault="00DB1B32" w:rsidP="007B0432">
      <w:pPr>
        <w:pStyle w:val="Odstavecseseznamem"/>
      </w:pPr>
    </w:p>
    <w:p w14:paraId="27BD42A4" w14:textId="1FB1DAC3" w:rsidR="00DB1B32" w:rsidRDefault="00DB1B32" w:rsidP="007B0432">
      <w:pPr>
        <w:pStyle w:val="Odstavecseseznamem"/>
      </w:pPr>
    </w:p>
    <w:p w14:paraId="05222C1B" w14:textId="7843038C" w:rsidR="00DB1B32" w:rsidRDefault="00DB1B32" w:rsidP="007B0432">
      <w:pPr>
        <w:pStyle w:val="Odstavecseseznamem"/>
      </w:pPr>
    </w:p>
    <w:p w14:paraId="3DEC089F" w14:textId="18175DCF" w:rsidR="00DB1B32" w:rsidRDefault="00DB1B32" w:rsidP="007B0432">
      <w:pPr>
        <w:pStyle w:val="Odstavecseseznamem"/>
      </w:pPr>
    </w:p>
    <w:p w14:paraId="53769FB8" w14:textId="05195390" w:rsidR="00DB1B32" w:rsidRDefault="00DB1B32" w:rsidP="007B0432">
      <w:pPr>
        <w:pStyle w:val="Odstavecseseznamem"/>
      </w:pPr>
    </w:p>
    <w:p w14:paraId="37A76A71" w14:textId="123AB1DC" w:rsidR="00DB1B32" w:rsidRDefault="00DB1B32" w:rsidP="007B0432">
      <w:pPr>
        <w:pStyle w:val="Odstavecseseznamem"/>
      </w:pPr>
    </w:p>
    <w:p w14:paraId="70C5F4A6" w14:textId="186618FD" w:rsidR="00DB1B32" w:rsidRDefault="00DB1B32" w:rsidP="007B0432">
      <w:pPr>
        <w:pStyle w:val="Odstavecseseznamem"/>
      </w:pPr>
    </w:p>
    <w:p w14:paraId="1FD96D97" w14:textId="51D6773E" w:rsidR="00DB1B32" w:rsidRDefault="00DB1B32" w:rsidP="007B0432">
      <w:pPr>
        <w:pStyle w:val="Odstavecseseznamem"/>
      </w:pPr>
    </w:p>
    <w:p w14:paraId="2BA979D0" w14:textId="4760250A" w:rsidR="00DB1B32" w:rsidRDefault="00DB1B32" w:rsidP="007B0432">
      <w:pPr>
        <w:pStyle w:val="Odstavecseseznamem"/>
      </w:pPr>
    </w:p>
    <w:p w14:paraId="4E79D45D" w14:textId="6DA93FCA" w:rsidR="00DB1B32" w:rsidRDefault="00DB1B32" w:rsidP="007B0432">
      <w:pPr>
        <w:pStyle w:val="Odstavecseseznamem"/>
      </w:pPr>
    </w:p>
    <w:p w14:paraId="110113C2" w14:textId="703A6194" w:rsidR="00DB1B32" w:rsidRDefault="00DB1B32" w:rsidP="007B0432">
      <w:pPr>
        <w:pStyle w:val="Odstavecseseznamem"/>
      </w:pPr>
    </w:p>
    <w:p w14:paraId="0ABE5937" w14:textId="2FAAF572" w:rsidR="00DB1B32" w:rsidRDefault="00DB1B32" w:rsidP="007B0432">
      <w:pPr>
        <w:pStyle w:val="Odstavecseseznamem"/>
      </w:pPr>
    </w:p>
    <w:p w14:paraId="4C96F127" w14:textId="219DB330" w:rsidR="00DB1B32" w:rsidRDefault="00DB1B32" w:rsidP="007B0432">
      <w:pPr>
        <w:pStyle w:val="Odstavecseseznamem"/>
      </w:pPr>
    </w:p>
    <w:p w14:paraId="39EFF62E" w14:textId="77777777" w:rsidR="00DB1B32" w:rsidRDefault="00DB1B32" w:rsidP="007B0432">
      <w:pPr>
        <w:pStyle w:val="Odstavecseseznamem"/>
      </w:pPr>
    </w:p>
    <w:p w14:paraId="713E4816" w14:textId="77777777" w:rsidR="008B2EF8" w:rsidRPr="00BD6A7B" w:rsidRDefault="008B2EF8" w:rsidP="00BD6A7B">
      <w:pPr>
        <w:rPr>
          <w:b/>
        </w:rPr>
      </w:pPr>
    </w:p>
    <w:p w14:paraId="7D6059BE" w14:textId="77777777" w:rsidR="008B2EF8" w:rsidRDefault="00387174" w:rsidP="00691CDF">
      <w:pPr>
        <w:pStyle w:val="Nadpis1"/>
      </w:pPr>
      <w:bookmarkStart w:id="0" w:name="_Toc157593033"/>
      <w:r>
        <w:t>1. Úvod</w:t>
      </w:r>
      <w:bookmarkEnd w:id="0"/>
    </w:p>
    <w:p w14:paraId="053148D3" w14:textId="77777777" w:rsidR="00613BDD" w:rsidRDefault="00613BDD" w:rsidP="00387174">
      <w:pPr>
        <w:spacing w:after="0" w:line="240" w:lineRule="auto"/>
        <w:jc w:val="both"/>
      </w:pPr>
    </w:p>
    <w:p w14:paraId="745FC1A3" w14:textId="76EB5F00" w:rsidR="00DD3AED" w:rsidRDefault="00651B7A" w:rsidP="00387174">
      <w:pPr>
        <w:spacing w:after="0" w:line="240" w:lineRule="auto"/>
        <w:jc w:val="both"/>
      </w:pPr>
      <w:r w:rsidRPr="00C55DEB">
        <w:rPr>
          <w:b/>
        </w:rPr>
        <w:t xml:space="preserve">Od </w:t>
      </w:r>
      <w:r w:rsidR="00503D7C" w:rsidRPr="00C55DEB">
        <w:rPr>
          <w:b/>
        </w:rPr>
        <w:t xml:space="preserve">1. prosince 2022 </w:t>
      </w:r>
      <w:r w:rsidRPr="00C55DEB">
        <w:rPr>
          <w:b/>
        </w:rPr>
        <w:t>je účinný</w:t>
      </w:r>
      <w:r w:rsidR="00DD3AED" w:rsidRPr="00C55DEB">
        <w:rPr>
          <w:b/>
        </w:rPr>
        <w:t xml:space="preserve"> zákon č. </w:t>
      </w:r>
      <w:r w:rsidR="00C55DEB" w:rsidRPr="007E41A0">
        <w:rPr>
          <w:b/>
        </w:rPr>
        <w:t>360/2022</w:t>
      </w:r>
      <w:r w:rsidR="00C55DEB" w:rsidRPr="00C55DEB">
        <w:rPr>
          <w:b/>
        </w:rPr>
        <w:t xml:space="preserve"> </w:t>
      </w:r>
      <w:r w:rsidR="00DD3AED" w:rsidRPr="00C55DEB">
        <w:rPr>
          <w:b/>
        </w:rPr>
        <w:t xml:space="preserve">Sb., o podpoře </w:t>
      </w:r>
      <w:proofErr w:type="spellStart"/>
      <w:r w:rsidR="00DD3AED" w:rsidRPr="00C55DEB">
        <w:rPr>
          <w:b/>
        </w:rPr>
        <w:t>nízkoemisních</w:t>
      </w:r>
      <w:proofErr w:type="spellEnd"/>
      <w:r w:rsidR="00DD3AED" w:rsidRPr="00C55DEB">
        <w:rPr>
          <w:b/>
        </w:rPr>
        <w:t xml:space="preserve"> vozidel prostřednictvím zadávání veřejných zakázek a veřejných služeb v přepr</w:t>
      </w:r>
      <w:r w:rsidR="00D77AE0" w:rsidRPr="00C55DEB">
        <w:rPr>
          <w:b/>
        </w:rPr>
        <w:t>avě cestujících</w:t>
      </w:r>
      <w:r w:rsidR="00D77AE0">
        <w:t xml:space="preserve"> (</w:t>
      </w:r>
      <w:r w:rsidR="00B67FD4">
        <w:t xml:space="preserve">dále jen </w:t>
      </w:r>
      <w:r w:rsidR="00D77AE0">
        <w:t>„</w:t>
      </w:r>
      <w:r w:rsidR="00D77AE0" w:rsidRPr="00071576">
        <w:rPr>
          <w:b/>
        </w:rPr>
        <w:t>ZPNV</w:t>
      </w:r>
      <w:r w:rsidR="00D77AE0">
        <w:t>“</w:t>
      </w:r>
      <w:r w:rsidR="00DD3AED">
        <w:t>).</w:t>
      </w:r>
    </w:p>
    <w:p w14:paraId="18946E8C" w14:textId="77777777" w:rsidR="00147CAE" w:rsidRDefault="00147CAE" w:rsidP="00147CAE">
      <w:pPr>
        <w:spacing w:after="0" w:line="240" w:lineRule="auto"/>
        <w:jc w:val="both"/>
        <w:rPr>
          <w:b/>
        </w:rPr>
      </w:pPr>
    </w:p>
    <w:p w14:paraId="1161ACBB" w14:textId="7403B761" w:rsidR="00D77AE0" w:rsidRDefault="00011EA9" w:rsidP="00D77AE0">
      <w:pPr>
        <w:jc w:val="both"/>
      </w:pPr>
      <w:r>
        <w:t>ZPNV</w:t>
      </w:r>
      <w:r w:rsidRPr="00011EA9">
        <w:t xml:space="preserve"> je čistě implementační právní úpravou ve vztahu ke směrnici Evropského parlamentu a Rady (EU) </w:t>
      </w:r>
      <w:r w:rsidRPr="00011EA9">
        <w:rPr>
          <w:b/>
        </w:rPr>
        <w:t>2019/1161</w:t>
      </w:r>
      <w:r w:rsidRPr="00011EA9">
        <w:t xml:space="preserve">, která kompletně novelizovala směrnici Evropského parlamentu a Rady </w:t>
      </w:r>
      <w:r w:rsidRPr="00011EA9">
        <w:rPr>
          <w:b/>
        </w:rPr>
        <w:t>2009/33/ES</w:t>
      </w:r>
      <w:r w:rsidRPr="00011EA9">
        <w:t xml:space="preserve"> o podpoře čistých a energeti</w:t>
      </w:r>
      <w:r>
        <w:t>cky účinných silničních vozidel</w:t>
      </w:r>
      <w:r w:rsidR="00D77AE0">
        <w:t xml:space="preserve"> (dále jen „směrnice o čistých vozidlech“).</w:t>
      </w:r>
    </w:p>
    <w:p w14:paraId="352820C4" w14:textId="7809B050" w:rsidR="00BD1AC1" w:rsidRPr="00011EA9" w:rsidRDefault="00BD1AC1" w:rsidP="00D77AE0">
      <w:pPr>
        <w:jc w:val="both"/>
      </w:pPr>
      <w:r>
        <w:rPr>
          <w:b/>
        </w:rPr>
        <w:t xml:space="preserve">Od data účinností </w:t>
      </w:r>
      <w:r w:rsidRPr="00C55DEB">
        <w:rPr>
          <w:b/>
        </w:rPr>
        <w:t>ZPNV (tedy od</w:t>
      </w:r>
      <w:r w:rsidR="00503D7C" w:rsidRPr="00C55DEB">
        <w:rPr>
          <w:b/>
        </w:rPr>
        <w:t xml:space="preserve"> 1. prosince 2022)</w:t>
      </w:r>
      <w:r w:rsidR="00503D7C">
        <w:rPr>
          <w:b/>
        </w:rPr>
        <w:t xml:space="preserve"> </w:t>
      </w:r>
      <w:r w:rsidRPr="00C55DEB">
        <w:rPr>
          <w:b/>
        </w:rPr>
        <w:t xml:space="preserve">je nařízením vlády č. </w:t>
      </w:r>
      <w:r w:rsidR="00C55DEB" w:rsidRPr="007E41A0">
        <w:rPr>
          <w:b/>
        </w:rPr>
        <w:t>361/2022</w:t>
      </w:r>
      <w:r w:rsidR="00C55DEB">
        <w:rPr>
          <w:b/>
        </w:rPr>
        <w:t xml:space="preserve"> Sb.</w:t>
      </w:r>
      <w:r>
        <w:rPr>
          <w:b/>
        </w:rPr>
        <w:t xml:space="preserve"> zrušeno nařízení vlády č. 173/2016 Sb. o stanovení závazných zadávacích podmínek pro veřejné zakázky na pořízení silničních vozidel, </w:t>
      </w:r>
      <w:r w:rsidRPr="00011EA9">
        <w:t xml:space="preserve">neboť toto nařízení vlády transponovalo původní znění směrnice o čistých vozidlech (před novelizací z roku 2019). </w:t>
      </w:r>
    </w:p>
    <w:p w14:paraId="6B2C3A6D" w14:textId="6D71B039" w:rsidR="007553AF" w:rsidRDefault="007553AF" w:rsidP="007553AF">
      <w:pPr>
        <w:jc w:val="both"/>
      </w:pPr>
      <w:r>
        <w:t>ZPNV</w:t>
      </w:r>
      <w:r w:rsidR="00BD1AC1">
        <w:t xml:space="preserve"> na základě požadavků směrnice o čistých vozidlech</w:t>
      </w:r>
      <w:r>
        <w:t xml:space="preserve"> </w:t>
      </w:r>
      <w:r w:rsidR="005E7BA3">
        <w:t>upravuje</w:t>
      </w:r>
      <w:r>
        <w:t xml:space="preserve"> </w:t>
      </w:r>
      <w:r w:rsidRPr="008A11C2">
        <w:rPr>
          <w:b/>
        </w:rPr>
        <w:t>minimální podíly</w:t>
      </w:r>
      <w:r w:rsidR="005E7BA3">
        <w:rPr>
          <w:b/>
        </w:rPr>
        <w:t xml:space="preserve"> tímto zákonem definovaných</w:t>
      </w:r>
      <w:r w:rsidRPr="008A11C2">
        <w:rPr>
          <w:b/>
        </w:rPr>
        <w:t xml:space="preserve"> </w:t>
      </w:r>
      <w:proofErr w:type="spellStart"/>
      <w:r w:rsidRPr="008A11C2">
        <w:rPr>
          <w:b/>
        </w:rPr>
        <w:t>nízkoemisních</w:t>
      </w:r>
      <w:proofErr w:type="spellEnd"/>
      <w:r w:rsidRPr="008A11C2">
        <w:rPr>
          <w:b/>
        </w:rPr>
        <w:t xml:space="preserve"> vozidel</w:t>
      </w:r>
      <w:r>
        <w:t>, kterých musí zadavatelé</w:t>
      </w:r>
      <w:r w:rsidR="001B452C">
        <w:t xml:space="preserve"> veřejných zakázek</w:t>
      </w:r>
      <w:r w:rsidR="00F416BB">
        <w:t xml:space="preserve"> podle ZZVZ</w:t>
      </w:r>
      <w:r>
        <w:t xml:space="preserve"> a objednatelé veřejných služeb v přepravě cestujících</w:t>
      </w:r>
      <w:r w:rsidR="00F416BB">
        <w:t xml:space="preserve"> podle zákona č. 194/2010 Sb. o veřejných službách v přepravě cestujících</w:t>
      </w:r>
      <w:r w:rsidR="00651B7A">
        <w:t xml:space="preserve"> (dále jen „</w:t>
      </w:r>
      <w:r w:rsidR="001B452C">
        <w:t xml:space="preserve">zadavatelé a </w:t>
      </w:r>
      <w:r w:rsidR="00651B7A">
        <w:t>objednatelé“)</w:t>
      </w:r>
      <w:r>
        <w:t xml:space="preserve"> dosahovat</w:t>
      </w:r>
      <w:r w:rsidR="005E7BA3">
        <w:t xml:space="preserve"> </w:t>
      </w:r>
      <w:r w:rsidR="00B67FD4">
        <w:rPr>
          <w:b/>
        </w:rPr>
        <w:t>v rámci</w:t>
      </w:r>
      <w:r w:rsidR="005E7BA3">
        <w:rPr>
          <w:b/>
        </w:rPr>
        <w:t xml:space="preserve"> jimi uzavíraných</w:t>
      </w:r>
      <w:r w:rsidR="005E7BA3" w:rsidRPr="005E7BA3">
        <w:rPr>
          <w:b/>
        </w:rPr>
        <w:t xml:space="preserve"> smluv, které spadají do působnosti </w:t>
      </w:r>
      <w:r w:rsidR="00D948ED">
        <w:rPr>
          <w:b/>
        </w:rPr>
        <w:t>ZPNV</w:t>
      </w:r>
      <w:r w:rsidR="005E7BA3">
        <w:t xml:space="preserve">, a to ve vztahu </w:t>
      </w:r>
      <w:r w:rsidR="005E7BA3" w:rsidRPr="005E7BA3">
        <w:rPr>
          <w:b/>
        </w:rPr>
        <w:t xml:space="preserve">ke dvěma </w:t>
      </w:r>
      <w:r w:rsidR="00651B7A">
        <w:rPr>
          <w:b/>
        </w:rPr>
        <w:t>sledovaným</w:t>
      </w:r>
      <w:r w:rsidR="005E7BA3" w:rsidRPr="005E7BA3">
        <w:rPr>
          <w:b/>
        </w:rPr>
        <w:t xml:space="preserve"> časovým obdobím</w:t>
      </w:r>
      <w:r w:rsidR="005E7BA3">
        <w:t xml:space="preserve"> (od účinnosti </w:t>
      </w:r>
      <w:r w:rsidR="00D948ED">
        <w:t>ZPNV</w:t>
      </w:r>
      <w:r w:rsidR="005E7BA3">
        <w:t xml:space="preserve"> do 31. 12. 2025 a od 1. 1. 2026 do 31. 12. 2030).</w:t>
      </w:r>
    </w:p>
    <w:p w14:paraId="23F89F75" w14:textId="5342C9FE" w:rsidR="00CE5F5F" w:rsidRDefault="003C341F" w:rsidP="007553AF">
      <w:pPr>
        <w:jc w:val="both"/>
      </w:pPr>
      <w:r>
        <w:t>ZPNV</w:t>
      </w:r>
      <w:r w:rsidR="00413F48">
        <w:t xml:space="preserve"> tedy</w:t>
      </w:r>
      <w:r>
        <w:t xml:space="preserve"> přináší zadavatelům a objednatelům </w:t>
      </w:r>
      <w:r w:rsidR="00413F48">
        <w:t>novou povinnost, a to</w:t>
      </w:r>
      <w:r w:rsidR="003B4DFC">
        <w:t xml:space="preserve"> dodržet</w:t>
      </w:r>
      <w:r w:rsidR="00413F48">
        <w:t xml:space="preserve"> stanovené minimální podíly</w:t>
      </w:r>
      <w:r w:rsidR="003B4DFC">
        <w:t xml:space="preserve"> v tomto zákoně definovaných </w:t>
      </w:r>
      <w:proofErr w:type="spellStart"/>
      <w:r w:rsidR="003B4DFC">
        <w:t>nízkoemisních</w:t>
      </w:r>
      <w:proofErr w:type="spellEnd"/>
      <w:r w:rsidR="003B4DFC">
        <w:t xml:space="preserve"> vozidel</w:t>
      </w:r>
      <w:r w:rsidR="00CE5F5F">
        <w:t>, a to ve vztahu k</w:t>
      </w:r>
      <w:r w:rsidR="000424D4">
        <w:t xml:space="preserve"> jimi </w:t>
      </w:r>
      <w:r w:rsidR="00CE5F5F">
        <w:t>pořizovaným</w:t>
      </w:r>
      <w:r w:rsidR="00F416BB">
        <w:t xml:space="preserve"> (a ve stanovených případech i jimi jen využívaným)</w:t>
      </w:r>
      <w:r w:rsidR="00413F48">
        <w:t xml:space="preserve"> silničním</w:t>
      </w:r>
      <w:r w:rsidR="00CE5F5F">
        <w:t xml:space="preserve"> vozidlům</w:t>
      </w:r>
      <w:r w:rsidR="003B4DFC">
        <w:t xml:space="preserve">.  </w:t>
      </w:r>
    </w:p>
    <w:p w14:paraId="25103EC3" w14:textId="23133DC1" w:rsidR="003B4DFC" w:rsidRPr="00011EA9" w:rsidRDefault="003B4DFC" w:rsidP="007553AF">
      <w:pPr>
        <w:jc w:val="both"/>
        <w:rPr>
          <w:b/>
        </w:rPr>
      </w:pPr>
      <w:r w:rsidRPr="00011EA9">
        <w:rPr>
          <w:b/>
        </w:rPr>
        <w:t>Zjednodušeně lze</w:t>
      </w:r>
      <w:r w:rsidR="00CE5F5F" w:rsidRPr="00011EA9">
        <w:rPr>
          <w:b/>
        </w:rPr>
        <w:t xml:space="preserve"> </w:t>
      </w:r>
      <w:r w:rsidR="00B87FD3" w:rsidRPr="00011EA9">
        <w:rPr>
          <w:b/>
        </w:rPr>
        <w:t>nejdůležitější informace k</w:t>
      </w:r>
      <w:r w:rsidR="000424D4" w:rsidRPr="00011EA9">
        <w:rPr>
          <w:b/>
        </w:rPr>
        <w:t> </w:t>
      </w:r>
      <w:r w:rsidR="00B87FD3" w:rsidRPr="00011EA9">
        <w:rPr>
          <w:b/>
        </w:rPr>
        <w:t>zaváděné</w:t>
      </w:r>
      <w:r w:rsidR="000424D4" w:rsidRPr="00011EA9">
        <w:rPr>
          <w:b/>
        </w:rPr>
        <w:t xml:space="preserve"> zákonné</w:t>
      </w:r>
      <w:r w:rsidR="00CE5F5F" w:rsidRPr="00011EA9">
        <w:rPr>
          <w:b/>
        </w:rPr>
        <w:t xml:space="preserve"> povinnost</w:t>
      </w:r>
      <w:r w:rsidR="00B87FD3" w:rsidRPr="00011EA9">
        <w:rPr>
          <w:b/>
        </w:rPr>
        <w:t>i</w:t>
      </w:r>
      <w:r w:rsidR="00CE5F5F" w:rsidRPr="00011EA9">
        <w:rPr>
          <w:b/>
        </w:rPr>
        <w:t xml:space="preserve"> </w:t>
      </w:r>
      <w:r w:rsidR="009224E3" w:rsidRPr="00011EA9">
        <w:rPr>
          <w:b/>
        </w:rPr>
        <w:t xml:space="preserve">dodržovat minimální podíly </w:t>
      </w:r>
      <w:proofErr w:type="spellStart"/>
      <w:r w:rsidR="009224E3" w:rsidRPr="00011EA9">
        <w:rPr>
          <w:b/>
        </w:rPr>
        <w:t>nízkoemisních</w:t>
      </w:r>
      <w:proofErr w:type="spellEnd"/>
      <w:r w:rsidR="009224E3" w:rsidRPr="00011EA9">
        <w:rPr>
          <w:b/>
        </w:rPr>
        <w:t xml:space="preserve"> vozidel </w:t>
      </w:r>
      <w:r w:rsidR="00CE5F5F" w:rsidRPr="00011EA9">
        <w:rPr>
          <w:b/>
        </w:rPr>
        <w:t xml:space="preserve">shrnout </w:t>
      </w:r>
      <w:r w:rsidR="00B87FD3" w:rsidRPr="00011EA9">
        <w:rPr>
          <w:b/>
        </w:rPr>
        <w:t>v těchto bodech:</w:t>
      </w:r>
      <w:r w:rsidRPr="00011EA9">
        <w:rPr>
          <w:b/>
        </w:rPr>
        <w:t xml:space="preserve"> </w:t>
      </w:r>
    </w:p>
    <w:p w14:paraId="52D18D7A" w14:textId="7A36EFDE" w:rsidR="009224E3" w:rsidRDefault="009224E3" w:rsidP="007553AF">
      <w:pPr>
        <w:jc w:val="both"/>
      </w:pPr>
      <w:r>
        <w:t xml:space="preserve">1. </w:t>
      </w:r>
      <w:r w:rsidR="00633678">
        <w:rPr>
          <w:b/>
        </w:rPr>
        <w:t>K p</w:t>
      </w:r>
      <w:r w:rsidR="00B87FD3" w:rsidRPr="00180507">
        <w:rPr>
          <w:b/>
        </w:rPr>
        <w:t>ovinnost</w:t>
      </w:r>
      <w:r w:rsidR="00633678">
        <w:rPr>
          <w:b/>
        </w:rPr>
        <w:t>i</w:t>
      </w:r>
      <w:r w:rsidR="00B87FD3" w:rsidRPr="00180507">
        <w:rPr>
          <w:b/>
        </w:rPr>
        <w:t xml:space="preserve"> dodrže</w:t>
      </w:r>
      <w:r w:rsidR="00CC1AA7" w:rsidRPr="00180507">
        <w:rPr>
          <w:b/>
        </w:rPr>
        <w:t>t</w:t>
      </w:r>
      <w:r w:rsidR="00B87FD3" w:rsidRPr="00180507">
        <w:rPr>
          <w:b/>
        </w:rPr>
        <w:t xml:space="preserve"> minimální podíl zákonem </w:t>
      </w:r>
      <w:r w:rsidR="00011EA9" w:rsidRPr="00180507">
        <w:rPr>
          <w:b/>
        </w:rPr>
        <w:t>definovaných</w:t>
      </w:r>
      <w:r w:rsidR="00B87FD3" w:rsidRPr="00180507">
        <w:rPr>
          <w:b/>
        </w:rPr>
        <w:t xml:space="preserve"> </w:t>
      </w:r>
      <w:proofErr w:type="spellStart"/>
      <w:r w:rsidR="00B87FD3" w:rsidRPr="00180507">
        <w:rPr>
          <w:b/>
        </w:rPr>
        <w:t>nízkoemisních</w:t>
      </w:r>
      <w:proofErr w:type="spellEnd"/>
      <w:r w:rsidR="00B87FD3" w:rsidRPr="00180507">
        <w:rPr>
          <w:b/>
        </w:rPr>
        <w:t xml:space="preserve"> </w:t>
      </w:r>
      <w:r w:rsidR="00CC1AA7" w:rsidRPr="00180507">
        <w:rPr>
          <w:b/>
        </w:rPr>
        <w:t>(silničních) vozidel</w:t>
      </w:r>
      <w:r w:rsidR="00633678">
        <w:rPr>
          <w:b/>
        </w:rPr>
        <w:t>:</w:t>
      </w:r>
      <w:r w:rsidR="001B452C">
        <w:t xml:space="preserve"> </w:t>
      </w:r>
    </w:p>
    <w:p w14:paraId="6DCDCCEE" w14:textId="0E12CE22" w:rsidR="001B452C" w:rsidRPr="00180507" w:rsidRDefault="009224E3" w:rsidP="007553AF">
      <w:pPr>
        <w:jc w:val="both"/>
        <w:rPr>
          <w:b/>
        </w:rPr>
      </w:pPr>
      <w:r w:rsidRPr="00180507">
        <w:rPr>
          <w:b/>
        </w:rPr>
        <w:t xml:space="preserve">- </w:t>
      </w:r>
      <w:r w:rsidR="001B452C" w:rsidRPr="00180507">
        <w:rPr>
          <w:b/>
        </w:rPr>
        <w:t>u veřejných zakázek</w:t>
      </w:r>
      <w:r w:rsidR="00633678">
        <w:rPr>
          <w:b/>
        </w:rPr>
        <w:t xml:space="preserve"> se</w:t>
      </w:r>
      <w:r w:rsidR="003B4DFC" w:rsidRPr="00180507">
        <w:rPr>
          <w:b/>
        </w:rPr>
        <w:t xml:space="preserve"> týká </w:t>
      </w:r>
    </w:p>
    <w:p w14:paraId="2045F5F4" w14:textId="2CFC300C" w:rsidR="001B452C" w:rsidRDefault="003B4DFC" w:rsidP="00185DED">
      <w:pPr>
        <w:pStyle w:val="Odstavecseseznamem"/>
        <w:numPr>
          <w:ilvl w:val="0"/>
          <w:numId w:val="30"/>
        </w:numPr>
        <w:jc w:val="both"/>
      </w:pPr>
      <w:r>
        <w:t xml:space="preserve">pořizování silničních vozidel </w:t>
      </w:r>
      <w:r w:rsidR="00F21023">
        <w:t xml:space="preserve">(osobních automobilů, lehkých užitkových vozidel, </w:t>
      </w:r>
      <w:r w:rsidR="00185DED">
        <w:t>nákladních vozidel</w:t>
      </w:r>
      <w:r w:rsidR="00821D9C">
        <w:t xml:space="preserve"> </w:t>
      </w:r>
      <w:r w:rsidR="00185DED">
        <w:t>a některých autobusů</w:t>
      </w:r>
      <w:r w:rsidR="00F21023">
        <w:t xml:space="preserve">) určených </w:t>
      </w:r>
      <w:r w:rsidR="005F5C0B">
        <w:t>podle kategorií</w:t>
      </w:r>
      <w:r w:rsidR="0034614C">
        <w:rPr>
          <w:rStyle w:val="Znakapoznpodarou"/>
        </w:rPr>
        <w:footnoteReference w:id="1"/>
      </w:r>
      <w:r w:rsidR="00185DED">
        <w:t xml:space="preserve"> jako</w:t>
      </w:r>
      <w:r w:rsidR="00F21023">
        <w:t xml:space="preserve"> </w:t>
      </w:r>
      <w:r>
        <w:t xml:space="preserve">kategorie M1, M2, M3 </w:t>
      </w:r>
      <w:r w:rsidR="00180507">
        <w:t>třídy I nebo</w:t>
      </w:r>
      <w:r w:rsidR="001B452C">
        <w:t xml:space="preserve"> A,</w:t>
      </w:r>
      <w:r>
        <w:t xml:space="preserve"> N1, N2, N3</w:t>
      </w:r>
      <w:r w:rsidR="00CE5F5F">
        <w:t xml:space="preserve"> (</w:t>
      </w:r>
      <w:r w:rsidR="001B452C">
        <w:t xml:space="preserve">s určitými </w:t>
      </w:r>
      <w:r w:rsidR="00185DED">
        <w:t xml:space="preserve">v ZPNV </w:t>
      </w:r>
      <w:r w:rsidR="001B452C">
        <w:t>přesně stanovenými výjimkami</w:t>
      </w:r>
      <w:r w:rsidR="00CE5F5F">
        <w:t>)</w:t>
      </w:r>
      <w:r>
        <w:t xml:space="preserve"> </w:t>
      </w:r>
      <w:r w:rsidR="00C41A5D">
        <w:t>nebo</w:t>
      </w:r>
      <w:r>
        <w:t xml:space="preserve"> trolejbusů</w:t>
      </w:r>
      <w:r w:rsidR="000424D4">
        <w:t xml:space="preserve"> (viz </w:t>
      </w:r>
      <w:r w:rsidR="009224E3">
        <w:t>podkapitola</w:t>
      </w:r>
      <w:r w:rsidR="000424D4">
        <w:t xml:space="preserve"> 2</w:t>
      </w:r>
      <w:r w:rsidR="009224E3">
        <w:t>.2</w:t>
      </w:r>
      <w:r w:rsidR="000424D4">
        <w:t>)</w:t>
      </w:r>
      <w:r w:rsidR="00413F48">
        <w:t>.</w:t>
      </w:r>
      <w:r w:rsidR="001B452C">
        <w:t xml:space="preserve"> </w:t>
      </w:r>
    </w:p>
    <w:p w14:paraId="2EBB1F3E" w14:textId="520863C1" w:rsidR="00180507" w:rsidRDefault="00E94AE3" w:rsidP="00180507">
      <w:pPr>
        <w:pStyle w:val="Odstavecseseznamem"/>
        <w:numPr>
          <w:ilvl w:val="0"/>
          <w:numId w:val="30"/>
        </w:numPr>
        <w:jc w:val="both"/>
      </w:pPr>
      <w:r>
        <w:t>služeb</w:t>
      </w:r>
      <w:r w:rsidR="001B452C">
        <w:t xml:space="preserve"> z přílohy č. 1 ZPNV</w:t>
      </w:r>
      <w:r w:rsidR="00180507">
        <w:t xml:space="preserve">, k jejichž poskytování jsou využívána v předchozí odrážce uvedená silniční vozidla; jedná se o tyto služby </w:t>
      </w:r>
      <w:r w:rsidR="00616DB0">
        <w:t xml:space="preserve">určené </w:t>
      </w:r>
      <w:r w:rsidR="00180507">
        <w:t>podle CPV kódu: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80507" w:rsidRPr="00180507" w14:paraId="293BC489" w14:textId="77777777" w:rsidTr="00457606">
        <w:tc>
          <w:tcPr>
            <w:tcW w:w="4531" w:type="dxa"/>
            <w:shd w:val="clear" w:color="auto" w:fill="auto"/>
          </w:tcPr>
          <w:p w14:paraId="50F384D5"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lastRenderedPageBreak/>
              <w:t>Služby veřejné silniční dopravy</w:t>
            </w:r>
          </w:p>
        </w:tc>
      </w:tr>
      <w:tr w:rsidR="00180507" w:rsidRPr="00180507" w14:paraId="21C7C756" w14:textId="77777777" w:rsidTr="00457606">
        <w:tc>
          <w:tcPr>
            <w:tcW w:w="4531" w:type="dxa"/>
            <w:shd w:val="clear" w:color="auto" w:fill="auto"/>
          </w:tcPr>
          <w:p w14:paraId="74EF777C"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Služby jednoúčelové silniční osobní dopravy</w:t>
            </w:r>
          </w:p>
        </w:tc>
      </w:tr>
      <w:tr w:rsidR="00180507" w:rsidRPr="00180507" w14:paraId="3D7B1623" w14:textId="77777777" w:rsidTr="00457606">
        <w:tc>
          <w:tcPr>
            <w:tcW w:w="4531" w:type="dxa"/>
            <w:shd w:val="clear" w:color="auto" w:fill="auto"/>
          </w:tcPr>
          <w:p w14:paraId="0836E851"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Nepravidelná osobní doprava</w:t>
            </w:r>
          </w:p>
        </w:tc>
      </w:tr>
      <w:tr w:rsidR="00180507" w:rsidRPr="00180507" w14:paraId="2C7AF60A" w14:textId="77777777" w:rsidTr="00457606">
        <w:tc>
          <w:tcPr>
            <w:tcW w:w="4531" w:type="dxa"/>
            <w:shd w:val="clear" w:color="auto" w:fill="auto"/>
          </w:tcPr>
          <w:p w14:paraId="360D04B9"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Sběr odpadu</w:t>
            </w:r>
          </w:p>
        </w:tc>
      </w:tr>
      <w:tr w:rsidR="00180507" w:rsidRPr="00180507" w14:paraId="4C250C1D" w14:textId="77777777" w:rsidTr="00457606">
        <w:tc>
          <w:tcPr>
            <w:tcW w:w="4531" w:type="dxa"/>
            <w:shd w:val="clear" w:color="auto" w:fill="auto"/>
          </w:tcPr>
          <w:p w14:paraId="043DA664"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Silniční poštovní doprava</w:t>
            </w:r>
          </w:p>
        </w:tc>
      </w:tr>
      <w:tr w:rsidR="00180507" w:rsidRPr="00180507" w14:paraId="177BEABC" w14:textId="77777777" w:rsidTr="00457606">
        <w:tc>
          <w:tcPr>
            <w:tcW w:w="4531" w:type="dxa"/>
            <w:shd w:val="clear" w:color="auto" w:fill="auto"/>
          </w:tcPr>
          <w:p w14:paraId="444EA0CE"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Přeprava balíků</w:t>
            </w:r>
          </w:p>
        </w:tc>
      </w:tr>
      <w:tr w:rsidR="00180507" w:rsidRPr="00180507" w14:paraId="0F66155C" w14:textId="77777777" w:rsidTr="00457606">
        <w:tc>
          <w:tcPr>
            <w:tcW w:w="4531" w:type="dxa"/>
            <w:shd w:val="clear" w:color="auto" w:fill="auto"/>
          </w:tcPr>
          <w:p w14:paraId="07E8F75B" w14:textId="77777777"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Doručování pošty</w:t>
            </w:r>
          </w:p>
        </w:tc>
      </w:tr>
      <w:tr w:rsidR="00180507" w:rsidRPr="00180507" w14:paraId="68FD959D" w14:textId="77777777" w:rsidTr="00457606">
        <w:tc>
          <w:tcPr>
            <w:tcW w:w="4531" w:type="dxa"/>
            <w:shd w:val="clear" w:color="auto" w:fill="auto"/>
          </w:tcPr>
          <w:p w14:paraId="02288EDE" w14:textId="0560B60D" w:rsidR="00180507" w:rsidRPr="00180507" w:rsidRDefault="00180507" w:rsidP="00457606">
            <w:pPr>
              <w:pStyle w:val="odstavec"/>
              <w:spacing w:before="0"/>
              <w:ind w:firstLine="0"/>
              <w:rPr>
                <w:rFonts w:asciiTheme="minorHAnsi" w:hAnsiTheme="minorHAnsi" w:cstheme="minorHAnsi"/>
                <w:sz w:val="22"/>
                <w:szCs w:val="22"/>
              </w:rPr>
            </w:pPr>
            <w:r w:rsidRPr="00180507">
              <w:rPr>
                <w:rFonts w:asciiTheme="minorHAnsi" w:hAnsiTheme="minorHAnsi" w:cstheme="minorHAnsi"/>
                <w:sz w:val="22"/>
                <w:szCs w:val="22"/>
              </w:rPr>
              <w:t>Doručování balíků</w:t>
            </w:r>
          </w:p>
        </w:tc>
      </w:tr>
    </w:tbl>
    <w:p w14:paraId="7AB67E41" w14:textId="77777777" w:rsidR="00180507" w:rsidRPr="00180507" w:rsidRDefault="00180507" w:rsidP="007553AF">
      <w:pPr>
        <w:jc w:val="both"/>
      </w:pPr>
    </w:p>
    <w:p w14:paraId="77CDDCF0" w14:textId="10E0822F" w:rsidR="00E94AE3" w:rsidRDefault="00E94AE3" w:rsidP="007553AF">
      <w:pPr>
        <w:jc w:val="both"/>
      </w:pPr>
      <w:r w:rsidRPr="00180507">
        <w:rPr>
          <w:b/>
        </w:rPr>
        <w:t>- u veřejných služeb v přepravě cestujících</w:t>
      </w:r>
      <w:r w:rsidR="00011EA9" w:rsidRPr="00180507">
        <w:rPr>
          <w:b/>
        </w:rPr>
        <w:t xml:space="preserve"> se týká</w:t>
      </w:r>
      <w:r>
        <w:t xml:space="preserve"> jen těch, které </w:t>
      </w:r>
      <w:r w:rsidR="00B831B9">
        <w:t>budou</w:t>
      </w:r>
      <w:r>
        <w:t xml:space="preserve"> poskytovány prostřednictvím v</w:t>
      </w:r>
      <w:r w:rsidR="00CC1AA7">
        <w:t>ozidel</w:t>
      </w:r>
      <w:r w:rsidR="00B831B9">
        <w:t xml:space="preserve"> spadajících do působnosti zákona, což u těchto služeb budou silniční vozidla</w:t>
      </w:r>
      <w:r w:rsidR="00CC1AA7">
        <w:t xml:space="preserve"> kategorie M3 třídy</w:t>
      </w:r>
      <w:r w:rsidR="00011EA9">
        <w:t xml:space="preserve"> I nebo</w:t>
      </w:r>
      <w:r>
        <w:t xml:space="preserve"> A</w:t>
      </w:r>
      <w:r w:rsidR="00B831B9">
        <w:t xml:space="preserve"> nebo trolejbusy</w:t>
      </w:r>
    </w:p>
    <w:p w14:paraId="0EAEFD53" w14:textId="2EE48344" w:rsidR="003B4DFC" w:rsidRDefault="003B4DFC" w:rsidP="007553AF">
      <w:pPr>
        <w:jc w:val="both"/>
      </w:pPr>
      <w:r>
        <w:t xml:space="preserve">- </w:t>
      </w:r>
      <w:r w:rsidR="00B87FD3">
        <w:t xml:space="preserve">nedopadá na již vlastněná či používaná vozidla, jedná se o </w:t>
      </w:r>
      <w:r w:rsidR="00CC1AA7">
        <w:t>„</w:t>
      </w:r>
      <w:r w:rsidR="00B87FD3">
        <w:t>nové</w:t>
      </w:r>
      <w:r w:rsidR="00CC1AA7">
        <w:t>“</w:t>
      </w:r>
      <w:r w:rsidR="00B87FD3">
        <w:t xml:space="preserve"> smlouvy, rozhodující je</w:t>
      </w:r>
      <w:r w:rsidR="00CC1AA7">
        <w:t xml:space="preserve"> zde</w:t>
      </w:r>
      <w:r w:rsidR="00B87FD3">
        <w:t xml:space="preserve"> </w:t>
      </w:r>
      <w:r w:rsidR="00CC1AA7">
        <w:t>datum</w:t>
      </w:r>
      <w:r w:rsidR="00B87FD3">
        <w:t xml:space="preserve"> zahájení zadávacího (či nabídkového) řízení</w:t>
      </w:r>
      <w:r w:rsidR="00413F48">
        <w:t>, které předchází uzavření smlouvy</w:t>
      </w:r>
    </w:p>
    <w:p w14:paraId="7FB58D1F" w14:textId="1C71EBF5" w:rsidR="003B4DFC" w:rsidRDefault="003B4DFC" w:rsidP="007553AF">
      <w:pPr>
        <w:jc w:val="both"/>
      </w:pPr>
      <w:r>
        <w:t xml:space="preserve">- </w:t>
      </w:r>
      <w:r w:rsidR="00633678">
        <w:t>týká se jen</w:t>
      </w:r>
      <w:r w:rsidR="000424D4">
        <w:t xml:space="preserve"> nadlimitní</w:t>
      </w:r>
      <w:r w:rsidR="00633678">
        <w:t>ch veřejných zakázek</w:t>
      </w:r>
      <w:r w:rsidR="000424D4">
        <w:t xml:space="preserve"> </w:t>
      </w:r>
      <w:r w:rsidR="00633678">
        <w:t xml:space="preserve">a </w:t>
      </w:r>
      <w:r w:rsidR="00B831B9">
        <w:t>veřejných služeb v přepravě cestujících zadávaných na základě zákona o veřejných službách v přepravě cestujících pouze pokud je překročena v nařízení 1370/2007 stanovená průměrná roční hodnota nebo počet kilometr</w:t>
      </w:r>
      <w:r w:rsidR="00633678">
        <w:t>ů za rok (viz podkapitola 2.1b)</w:t>
      </w:r>
    </w:p>
    <w:p w14:paraId="4F144741" w14:textId="49994606" w:rsidR="003B4DFC" w:rsidRDefault="003B4DFC" w:rsidP="007553AF">
      <w:pPr>
        <w:jc w:val="both"/>
      </w:pPr>
      <w:r>
        <w:t xml:space="preserve">- </w:t>
      </w:r>
      <w:r w:rsidR="009224E3">
        <w:t>dopadá na všechny zadavatele vyjma „dotovaných zadavatelů“ a na všechny objednatele.</w:t>
      </w:r>
    </w:p>
    <w:p w14:paraId="281602DE" w14:textId="776FE9B8" w:rsidR="00CE5F5F" w:rsidRDefault="00CE5F5F" w:rsidP="007553AF">
      <w:pPr>
        <w:jc w:val="both"/>
      </w:pPr>
      <w:r>
        <w:t>Podrobně</w:t>
      </w:r>
      <w:r w:rsidR="00616DB0">
        <w:t xml:space="preserve"> je působnost ZPNV</w:t>
      </w:r>
      <w:r w:rsidR="00413F48">
        <w:t xml:space="preserve"> rozebrána v následující kapitole.</w:t>
      </w:r>
    </w:p>
    <w:p w14:paraId="4DAC8A14" w14:textId="333388F5" w:rsidR="00BD6A7B" w:rsidRPr="00180507" w:rsidRDefault="00BD6A7B" w:rsidP="00180507">
      <w:pPr>
        <w:rPr>
          <w:b/>
        </w:rPr>
      </w:pPr>
    </w:p>
    <w:p w14:paraId="6F39F4E2" w14:textId="77777777" w:rsidR="00314E8B" w:rsidRPr="005C18B6" w:rsidRDefault="0089281D" w:rsidP="0032217D">
      <w:pPr>
        <w:pStyle w:val="Nadpis1"/>
      </w:pPr>
      <w:bookmarkStart w:id="1" w:name="_Toc157593034"/>
      <w:r>
        <w:t xml:space="preserve">2. </w:t>
      </w:r>
      <w:r w:rsidR="00FB20A2" w:rsidRPr="0089281D">
        <w:t xml:space="preserve">Působnost </w:t>
      </w:r>
      <w:r w:rsidR="005B555D">
        <w:t>ZPNV</w:t>
      </w:r>
      <w:bookmarkEnd w:id="1"/>
    </w:p>
    <w:p w14:paraId="42CB7F5D" w14:textId="77777777" w:rsidR="00613BDD" w:rsidRDefault="00613BDD" w:rsidP="009A5502">
      <w:pPr>
        <w:jc w:val="both"/>
      </w:pPr>
    </w:p>
    <w:p w14:paraId="1D747738" w14:textId="61FD0591" w:rsidR="00A55124" w:rsidRPr="00F842FE" w:rsidRDefault="006D27BB" w:rsidP="009A5502">
      <w:pPr>
        <w:jc w:val="both"/>
      </w:pPr>
      <w:r w:rsidRPr="00F842FE">
        <w:t>P</w:t>
      </w:r>
      <w:r w:rsidR="00A914AC">
        <w:t>ro p</w:t>
      </w:r>
      <w:r w:rsidR="00A55124" w:rsidRPr="00F842FE">
        <w:t xml:space="preserve">ůsobnost </w:t>
      </w:r>
      <w:r w:rsidR="00D948ED">
        <w:t>ZPNV</w:t>
      </w:r>
      <w:r w:rsidR="005B555D" w:rsidRPr="00F842FE">
        <w:t xml:space="preserve"> </w:t>
      </w:r>
      <w:r w:rsidR="00A914AC">
        <w:t>jsou podstatné dva aspekty, a to</w:t>
      </w:r>
      <w:r w:rsidR="00A55124" w:rsidRPr="00775364">
        <w:t>:</w:t>
      </w:r>
    </w:p>
    <w:p w14:paraId="180E4F3A" w14:textId="77777777" w:rsidR="00A55124" w:rsidRPr="00F842FE" w:rsidRDefault="00A55124" w:rsidP="00071576">
      <w:pPr>
        <w:pStyle w:val="Odstavecseseznamem"/>
        <w:numPr>
          <w:ilvl w:val="0"/>
          <w:numId w:val="25"/>
        </w:numPr>
        <w:jc w:val="both"/>
      </w:pPr>
      <w:r w:rsidRPr="00F842FE">
        <w:t xml:space="preserve"> </w:t>
      </w:r>
      <w:r w:rsidR="00602150" w:rsidRPr="00F842FE">
        <w:t>okruh smluv</w:t>
      </w:r>
      <w:r w:rsidR="00387174" w:rsidRPr="00F842FE">
        <w:t xml:space="preserve"> </w:t>
      </w:r>
      <w:r w:rsidRPr="00F842FE">
        <w:t>uzavíraných zadavat</w:t>
      </w:r>
      <w:r w:rsidR="00D0755B" w:rsidRPr="00F842FE">
        <w:t>eli a objednateli</w:t>
      </w:r>
    </w:p>
    <w:p w14:paraId="78021A2A" w14:textId="77777777" w:rsidR="00A55124" w:rsidRPr="00F842FE" w:rsidRDefault="007E6D2D" w:rsidP="00071576">
      <w:pPr>
        <w:pStyle w:val="Odstavecseseznamem"/>
        <w:numPr>
          <w:ilvl w:val="0"/>
          <w:numId w:val="25"/>
        </w:numPr>
        <w:jc w:val="both"/>
      </w:pPr>
      <w:r>
        <w:t xml:space="preserve"> </w:t>
      </w:r>
      <w:r w:rsidR="00602150" w:rsidRPr="00F842FE">
        <w:t>druh</w:t>
      </w:r>
      <w:r w:rsidR="000C7111" w:rsidRPr="00F842FE">
        <w:t xml:space="preserve"> vozid</w:t>
      </w:r>
      <w:r w:rsidR="00602150" w:rsidRPr="00F842FE">
        <w:t>el</w:t>
      </w:r>
    </w:p>
    <w:p w14:paraId="03B2C302" w14:textId="7AFBE1F4" w:rsidR="007A25E8" w:rsidRPr="007A25E8" w:rsidRDefault="007218E2" w:rsidP="0032217D">
      <w:pPr>
        <w:pStyle w:val="Nadpis2"/>
      </w:pPr>
      <w:bookmarkStart w:id="2" w:name="_Toc157593035"/>
      <w:r>
        <w:t>2.</w:t>
      </w:r>
      <w:r w:rsidR="003D2D65" w:rsidRPr="007A25E8">
        <w:t xml:space="preserve">1. </w:t>
      </w:r>
      <w:r w:rsidR="006D27BB">
        <w:t xml:space="preserve"> </w:t>
      </w:r>
      <w:r w:rsidR="007E6D2D">
        <w:t xml:space="preserve">Působnost </w:t>
      </w:r>
      <w:r w:rsidR="005B555D">
        <w:t xml:space="preserve">ZPNV </w:t>
      </w:r>
      <w:r w:rsidR="007E6D2D">
        <w:t>ve vztahu k okruhu smluv uzavíraných zadavateli a objednateli</w:t>
      </w:r>
      <w:bookmarkEnd w:id="2"/>
    </w:p>
    <w:p w14:paraId="7BEFE00A" w14:textId="2F1726B9" w:rsidR="00BB59BE" w:rsidRDefault="002234FD" w:rsidP="009A5502">
      <w:pPr>
        <w:jc w:val="both"/>
        <w:rPr>
          <w:b/>
        </w:rPr>
      </w:pPr>
      <w:r>
        <w:rPr>
          <w:b/>
        </w:rPr>
        <w:t xml:space="preserve">Pro </w:t>
      </w:r>
      <w:r w:rsidR="001F750B">
        <w:rPr>
          <w:b/>
        </w:rPr>
        <w:t>rozhodnutí</w:t>
      </w:r>
      <w:r w:rsidR="00DA4430">
        <w:rPr>
          <w:b/>
        </w:rPr>
        <w:t>, zda se jedná o smlouvu, která spadá do působnosti ZPNV</w:t>
      </w:r>
      <w:r w:rsidR="007E439A">
        <w:rPr>
          <w:b/>
        </w:rPr>
        <w:t xml:space="preserve"> či nikoliv</w:t>
      </w:r>
      <w:r w:rsidR="001F750B">
        <w:rPr>
          <w:b/>
        </w:rPr>
        <w:t>,</w:t>
      </w:r>
      <w:r w:rsidR="00DA4430">
        <w:rPr>
          <w:b/>
        </w:rPr>
        <w:t xml:space="preserve"> </w:t>
      </w:r>
      <w:r w:rsidR="001F750B">
        <w:rPr>
          <w:b/>
        </w:rPr>
        <w:t xml:space="preserve">je potřeba </w:t>
      </w:r>
      <w:r w:rsidR="007E439A">
        <w:rPr>
          <w:b/>
        </w:rPr>
        <w:t>odpovědět na</w:t>
      </w:r>
      <w:r w:rsidR="001F750B">
        <w:rPr>
          <w:b/>
        </w:rPr>
        <w:t xml:space="preserve"> níže uvedené </w:t>
      </w:r>
      <w:r w:rsidR="007E439A">
        <w:rPr>
          <w:b/>
        </w:rPr>
        <w:t>otázky</w:t>
      </w:r>
      <w:r w:rsidR="001F750B">
        <w:rPr>
          <w:b/>
        </w:rPr>
        <w:t>:</w:t>
      </w:r>
    </w:p>
    <w:p w14:paraId="048C7365" w14:textId="1DDEDAF0" w:rsidR="002234FD" w:rsidRDefault="001F750B" w:rsidP="00C60B9A">
      <w:pPr>
        <w:pStyle w:val="Odstavecseseznamem"/>
        <w:numPr>
          <w:ilvl w:val="0"/>
          <w:numId w:val="31"/>
        </w:numPr>
        <w:spacing w:after="0" w:line="240" w:lineRule="auto"/>
        <w:jc w:val="both"/>
        <w:rPr>
          <w:b/>
        </w:rPr>
      </w:pPr>
      <w:r>
        <w:rPr>
          <w:b/>
        </w:rPr>
        <w:t>Kdo je subjektem</w:t>
      </w:r>
      <w:r w:rsidR="000E70CE">
        <w:rPr>
          <w:b/>
        </w:rPr>
        <w:t>, který smlouvu uzavírá</w:t>
      </w:r>
      <w:r w:rsidR="007E439A">
        <w:rPr>
          <w:b/>
        </w:rPr>
        <w:t>?</w:t>
      </w:r>
    </w:p>
    <w:p w14:paraId="1E777BB3" w14:textId="00538A50" w:rsidR="00C60B9A" w:rsidRPr="00C60B9A" w:rsidRDefault="001F750B" w:rsidP="00C60B9A">
      <w:pPr>
        <w:pStyle w:val="Odstavecseseznamem"/>
        <w:numPr>
          <w:ilvl w:val="0"/>
          <w:numId w:val="31"/>
        </w:numPr>
        <w:spacing w:after="0" w:line="240" w:lineRule="auto"/>
        <w:jc w:val="both"/>
        <w:rPr>
          <w:b/>
        </w:rPr>
      </w:pPr>
      <w:r>
        <w:rPr>
          <w:b/>
        </w:rPr>
        <w:t>Jaká je</w:t>
      </w:r>
      <w:r w:rsidR="0034614C">
        <w:rPr>
          <w:b/>
        </w:rPr>
        <w:t xml:space="preserve"> předpokládaná</w:t>
      </w:r>
      <w:r>
        <w:rPr>
          <w:b/>
        </w:rPr>
        <w:t xml:space="preserve"> hodnota smlouvy</w:t>
      </w:r>
      <w:r w:rsidR="007E439A">
        <w:rPr>
          <w:b/>
        </w:rPr>
        <w:t>?</w:t>
      </w:r>
    </w:p>
    <w:p w14:paraId="261415D2" w14:textId="60B1C1DC" w:rsidR="00C60B9A" w:rsidRPr="00C60B9A" w:rsidRDefault="007E439A" w:rsidP="00C60B9A">
      <w:pPr>
        <w:pStyle w:val="Odstavecseseznamem"/>
        <w:numPr>
          <w:ilvl w:val="0"/>
          <w:numId w:val="31"/>
        </w:numPr>
        <w:spacing w:after="0" w:line="240" w:lineRule="auto"/>
        <w:jc w:val="both"/>
        <w:rPr>
          <w:b/>
        </w:rPr>
      </w:pPr>
      <w:r>
        <w:rPr>
          <w:b/>
        </w:rPr>
        <w:t>Existuje povinnost zadat</w:t>
      </w:r>
      <w:r w:rsidR="000E70CE">
        <w:rPr>
          <w:b/>
        </w:rPr>
        <w:t xml:space="preserve"> veřejnou zakázku v zadávacím řízení</w:t>
      </w:r>
      <w:r>
        <w:rPr>
          <w:b/>
        </w:rPr>
        <w:t>?</w:t>
      </w:r>
    </w:p>
    <w:p w14:paraId="76CC4E50" w14:textId="4200A17E" w:rsidR="00C60B9A" w:rsidRPr="00C60B9A" w:rsidRDefault="001F750B" w:rsidP="00C60B9A">
      <w:pPr>
        <w:pStyle w:val="Odstavecseseznamem"/>
        <w:numPr>
          <w:ilvl w:val="0"/>
          <w:numId w:val="31"/>
        </w:numPr>
        <w:spacing w:after="0" w:line="240" w:lineRule="auto"/>
        <w:jc w:val="both"/>
        <w:rPr>
          <w:b/>
        </w:rPr>
      </w:pPr>
      <w:r>
        <w:rPr>
          <w:b/>
        </w:rPr>
        <w:t>Jaký je p</w:t>
      </w:r>
      <w:r w:rsidR="00C60B9A" w:rsidRPr="00C60B9A">
        <w:rPr>
          <w:b/>
        </w:rPr>
        <w:t>ředmět</w:t>
      </w:r>
      <w:r w:rsidR="007E439A">
        <w:rPr>
          <w:b/>
        </w:rPr>
        <w:t xml:space="preserve"> plnění</w:t>
      </w:r>
      <w:r w:rsidR="00C60B9A" w:rsidRPr="00C60B9A">
        <w:rPr>
          <w:b/>
        </w:rPr>
        <w:t xml:space="preserve"> smlouvy</w:t>
      </w:r>
      <w:r w:rsidR="007E439A">
        <w:rPr>
          <w:b/>
        </w:rPr>
        <w:t>?</w:t>
      </w:r>
    </w:p>
    <w:p w14:paraId="5CEE32EB" w14:textId="25B9A34A" w:rsidR="00C60B9A" w:rsidRDefault="001F750B" w:rsidP="00C60B9A">
      <w:pPr>
        <w:pStyle w:val="Odstavecseseznamem"/>
        <w:numPr>
          <w:ilvl w:val="0"/>
          <w:numId w:val="31"/>
        </w:numPr>
        <w:spacing w:after="0" w:line="240" w:lineRule="auto"/>
        <w:jc w:val="both"/>
        <w:rPr>
          <w:b/>
        </w:rPr>
      </w:pPr>
      <w:r>
        <w:rPr>
          <w:b/>
        </w:rPr>
        <w:t>Kdy došlo k</w:t>
      </w:r>
      <w:r w:rsidR="00C60B9A" w:rsidRPr="00C60B9A">
        <w:rPr>
          <w:b/>
        </w:rPr>
        <w:t xml:space="preserve"> zahájení zadávacího</w:t>
      </w:r>
      <w:r>
        <w:rPr>
          <w:b/>
        </w:rPr>
        <w:t xml:space="preserve"> (nabídkového)</w:t>
      </w:r>
      <w:r w:rsidR="00C60B9A" w:rsidRPr="00C60B9A">
        <w:rPr>
          <w:b/>
        </w:rPr>
        <w:t xml:space="preserve"> řízení a </w:t>
      </w:r>
      <w:r>
        <w:rPr>
          <w:b/>
        </w:rPr>
        <w:t>kdy byla smlouva uzavřena</w:t>
      </w:r>
      <w:r w:rsidR="007E439A">
        <w:rPr>
          <w:b/>
        </w:rPr>
        <w:t>?</w:t>
      </w:r>
    </w:p>
    <w:p w14:paraId="1A93D586" w14:textId="5425350A" w:rsidR="00C60B9A" w:rsidRDefault="00C60B9A" w:rsidP="009A5502">
      <w:pPr>
        <w:jc w:val="both"/>
        <w:rPr>
          <w:b/>
        </w:rPr>
      </w:pPr>
    </w:p>
    <w:p w14:paraId="5CD38571" w14:textId="056A05D4" w:rsidR="004D2E20" w:rsidRPr="00C60B9A" w:rsidRDefault="00C60B9A" w:rsidP="00C60B9A">
      <w:pPr>
        <w:pStyle w:val="Nadpis3"/>
      </w:pPr>
      <w:bookmarkStart w:id="3" w:name="_Toc157593036"/>
      <w:r w:rsidRPr="00C60B9A">
        <w:t xml:space="preserve">2.1a) </w:t>
      </w:r>
      <w:r w:rsidR="004427AF" w:rsidRPr="00C60B9A">
        <w:t>Kdo smlouvu uzavírá</w:t>
      </w:r>
      <w:bookmarkEnd w:id="3"/>
    </w:p>
    <w:p w14:paraId="3135FB9F" w14:textId="45B65C79" w:rsidR="002234FD" w:rsidRPr="002234FD" w:rsidRDefault="00C41A5D" w:rsidP="00071576">
      <w:pPr>
        <w:ind w:left="360"/>
        <w:jc w:val="both"/>
      </w:pPr>
      <w:r>
        <w:t>Povinnost dodržet minimální podíl</w:t>
      </w:r>
      <w:r w:rsidR="004D2E20" w:rsidRPr="002234FD">
        <w:t xml:space="preserve"> </w:t>
      </w:r>
      <w:proofErr w:type="spellStart"/>
      <w:r w:rsidR="004D2E20" w:rsidRPr="002234FD">
        <w:t>nízkoemisních</w:t>
      </w:r>
      <w:proofErr w:type="spellEnd"/>
      <w:r w:rsidR="004D2E20" w:rsidRPr="002234FD">
        <w:t xml:space="preserve"> vozidel mají zadavatelé podle § 4 odst. 1 a 3, </w:t>
      </w:r>
      <w:r w:rsidR="00202B63" w:rsidRPr="002234FD">
        <w:t>tedy</w:t>
      </w:r>
      <w:r w:rsidR="004D2E20" w:rsidRPr="002234FD">
        <w:t xml:space="preserve"> </w:t>
      </w:r>
      <w:r w:rsidR="004D2E20" w:rsidRPr="002234FD">
        <w:rPr>
          <w:b/>
        </w:rPr>
        <w:t xml:space="preserve">veřejní zadavatelé a </w:t>
      </w:r>
      <w:r w:rsidR="009763D0" w:rsidRPr="002234FD">
        <w:rPr>
          <w:b/>
        </w:rPr>
        <w:t>„</w:t>
      </w:r>
      <w:r w:rsidR="004D2E20" w:rsidRPr="002234FD">
        <w:rPr>
          <w:b/>
        </w:rPr>
        <w:t>sektoroví</w:t>
      </w:r>
      <w:r w:rsidR="009763D0" w:rsidRPr="002234FD">
        <w:rPr>
          <w:b/>
        </w:rPr>
        <w:t>“</w:t>
      </w:r>
      <w:r w:rsidR="004D2E20" w:rsidRPr="002234FD">
        <w:rPr>
          <w:b/>
        </w:rPr>
        <w:t xml:space="preserve"> zadavatelé</w:t>
      </w:r>
      <w:r w:rsidR="004D2E20" w:rsidRPr="002234FD">
        <w:t xml:space="preserve">. </w:t>
      </w:r>
    </w:p>
    <w:p w14:paraId="133799B5" w14:textId="77777777" w:rsidR="002234FD" w:rsidRPr="002234FD" w:rsidRDefault="004D2E20" w:rsidP="00071576">
      <w:pPr>
        <w:ind w:left="360"/>
        <w:jc w:val="both"/>
      </w:pPr>
      <w:r w:rsidRPr="002234FD">
        <w:t xml:space="preserve">Uvedenou </w:t>
      </w:r>
      <w:r w:rsidRPr="002234FD">
        <w:rPr>
          <w:b/>
        </w:rPr>
        <w:t>povinnost nemají</w:t>
      </w:r>
      <w:r w:rsidRPr="002234FD">
        <w:t xml:space="preserve"> jen zadavatelé podle § 4 odst. 2, tedy </w:t>
      </w:r>
      <w:r w:rsidRPr="002234FD">
        <w:rPr>
          <w:b/>
        </w:rPr>
        <w:t>„dotovaní</w:t>
      </w:r>
      <w:r w:rsidR="009763D0" w:rsidRPr="002234FD">
        <w:rPr>
          <w:b/>
        </w:rPr>
        <w:t>“</w:t>
      </w:r>
      <w:r w:rsidRPr="002234FD">
        <w:rPr>
          <w:b/>
        </w:rPr>
        <w:t xml:space="preserve"> zadavatelé</w:t>
      </w:r>
      <w:r w:rsidRPr="002234FD">
        <w:t xml:space="preserve">.  </w:t>
      </w:r>
    </w:p>
    <w:p w14:paraId="4F9B698B" w14:textId="77777777" w:rsidR="002234FD" w:rsidRDefault="004D2E20" w:rsidP="00071576">
      <w:pPr>
        <w:ind w:left="360"/>
        <w:jc w:val="both"/>
      </w:pPr>
      <w:r w:rsidRPr="002234FD">
        <w:t xml:space="preserve">Povinnost dodržet minimální podíl </w:t>
      </w:r>
      <w:proofErr w:type="spellStart"/>
      <w:r w:rsidRPr="002234FD">
        <w:t>nízkoemisních</w:t>
      </w:r>
      <w:proofErr w:type="spellEnd"/>
      <w:r w:rsidRPr="002234FD">
        <w:t xml:space="preserve"> vozidel mají dále </w:t>
      </w:r>
      <w:r w:rsidRPr="002234FD">
        <w:rPr>
          <w:b/>
        </w:rPr>
        <w:t>objednatelé</w:t>
      </w:r>
      <w:r w:rsidRPr="002234FD">
        <w:t xml:space="preserve"> podle zákona č. 194/2010 Sb., o veřejných službách v přepravě cestujících. </w:t>
      </w:r>
    </w:p>
    <w:p w14:paraId="6EEEF55E" w14:textId="1D6A2F56" w:rsidR="004D2E20" w:rsidRPr="002234FD" w:rsidRDefault="002234FD" w:rsidP="00071576">
      <w:pPr>
        <w:ind w:left="360"/>
        <w:jc w:val="both"/>
        <w:rPr>
          <w:b/>
        </w:rPr>
      </w:pPr>
      <w:r w:rsidRPr="002234FD">
        <w:rPr>
          <w:b/>
        </w:rPr>
        <w:t xml:space="preserve">Působnost zákona se </w:t>
      </w:r>
      <w:r w:rsidR="004D2E20" w:rsidRPr="002234FD">
        <w:rPr>
          <w:b/>
        </w:rPr>
        <w:t>t</w:t>
      </w:r>
      <w:r w:rsidR="00202B63" w:rsidRPr="002234FD">
        <w:rPr>
          <w:b/>
        </w:rPr>
        <w:t>ýká těmito subjekty uzavíraných, dále specifikovaných smluv.</w:t>
      </w:r>
      <w:r w:rsidR="004D2E20" w:rsidRPr="002234FD">
        <w:rPr>
          <w:b/>
        </w:rPr>
        <w:t xml:space="preserve"> </w:t>
      </w:r>
    </w:p>
    <w:p w14:paraId="3C72E84D" w14:textId="7BAB10A9" w:rsidR="0052646E" w:rsidRPr="00C60B9A" w:rsidRDefault="00DB1B32" w:rsidP="00C60B9A">
      <w:pPr>
        <w:pStyle w:val="Nadpis3"/>
      </w:pPr>
      <w:bookmarkStart w:id="4" w:name="_Toc157593037"/>
      <w:r>
        <w:t>2.1</w:t>
      </w:r>
      <w:r w:rsidR="00C60B9A">
        <w:t xml:space="preserve">b) </w:t>
      </w:r>
      <w:r w:rsidR="0034614C">
        <w:t>Předpokládaná h</w:t>
      </w:r>
      <w:r w:rsidR="004427AF" w:rsidRPr="00C60B9A">
        <w:t>odnota smlouvy</w:t>
      </w:r>
      <w:bookmarkEnd w:id="4"/>
    </w:p>
    <w:p w14:paraId="1F46B7CD" w14:textId="395E7CC0" w:rsidR="00471D56" w:rsidRDefault="007E439A" w:rsidP="0052646E">
      <w:pPr>
        <w:pStyle w:val="Odstavecseseznamem"/>
        <w:jc w:val="both"/>
      </w:pPr>
      <w:r>
        <w:t>Do působnosti ZPNV spadají jen</w:t>
      </w:r>
      <w:r w:rsidR="00471D56">
        <w:t xml:space="preserve"> </w:t>
      </w:r>
      <w:r w:rsidR="00177BF0">
        <w:t xml:space="preserve">smlouvy </w:t>
      </w:r>
      <w:r w:rsidR="00471D56">
        <w:t xml:space="preserve">od </w:t>
      </w:r>
      <w:r w:rsidR="00C37BAF">
        <w:t xml:space="preserve">stanovené </w:t>
      </w:r>
      <w:r w:rsidR="00471D56">
        <w:t>prahové hodnoty:</w:t>
      </w:r>
    </w:p>
    <w:p w14:paraId="7706078A" w14:textId="047A8193" w:rsidR="0052646E" w:rsidRDefault="007E439A" w:rsidP="00C60B9A">
      <w:pPr>
        <w:pStyle w:val="Odstavecseseznamem"/>
        <w:numPr>
          <w:ilvl w:val="0"/>
          <w:numId w:val="32"/>
        </w:numPr>
        <w:jc w:val="both"/>
        <w:rPr>
          <w:b/>
        </w:rPr>
      </w:pPr>
      <w:r>
        <w:rPr>
          <w:b/>
        </w:rPr>
        <w:t xml:space="preserve">smlouvy na </w:t>
      </w:r>
      <w:r w:rsidR="007A25E8" w:rsidRPr="007E035D">
        <w:rPr>
          <w:b/>
        </w:rPr>
        <w:t>nadlimitní</w:t>
      </w:r>
      <w:r w:rsidR="009A5502" w:rsidRPr="007E035D">
        <w:rPr>
          <w:rStyle w:val="Znakapoznpodarou"/>
          <w:b/>
        </w:rPr>
        <w:footnoteReference w:id="2"/>
      </w:r>
      <w:r w:rsidR="007A25E8" w:rsidRPr="007E035D">
        <w:rPr>
          <w:b/>
        </w:rPr>
        <w:t xml:space="preserve"> veřejné zakázky</w:t>
      </w:r>
    </w:p>
    <w:p w14:paraId="3D5C31B1" w14:textId="77777777" w:rsidR="0052646E" w:rsidRDefault="0052646E" w:rsidP="0052646E">
      <w:pPr>
        <w:pStyle w:val="Odstavecseseznamem"/>
        <w:jc w:val="both"/>
        <w:rPr>
          <w:b/>
        </w:rPr>
      </w:pPr>
    </w:p>
    <w:p w14:paraId="1F8FF79C" w14:textId="546405AC" w:rsidR="002767D1" w:rsidRDefault="002D0053" w:rsidP="002772C4">
      <w:pPr>
        <w:pStyle w:val="Odstavecseseznamem"/>
        <w:jc w:val="both"/>
      </w:pPr>
      <w:r w:rsidRPr="002D0053">
        <w:t>Do působnosti</w:t>
      </w:r>
      <w:r w:rsidR="00AD2CF2">
        <w:t xml:space="preserve"> ZPNV</w:t>
      </w:r>
      <w:r w:rsidRPr="002D0053">
        <w:t xml:space="preserve"> spadají pouze nadlimitní veřejné zakázky. </w:t>
      </w:r>
      <w:r w:rsidR="00BC2E1B">
        <w:t xml:space="preserve">Z důvodu naplnění požadavku směrnice o čistých vozidlech se za nadlimitní veřejnou zakázku pro účely </w:t>
      </w:r>
      <w:r w:rsidR="00D948ED">
        <w:t>ZPNV</w:t>
      </w:r>
      <w:r w:rsidR="00BC2E1B">
        <w:t xml:space="preserve"> považují i veřejné zakázky zadané na základě rámcové dohody</w:t>
      </w:r>
      <w:r w:rsidR="00C41A5D">
        <w:t xml:space="preserve"> (dále jen „</w:t>
      </w:r>
      <w:r w:rsidR="00C41A5D" w:rsidRPr="00C41A5D">
        <w:rPr>
          <w:b/>
        </w:rPr>
        <w:t>RD</w:t>
      </w:r>
      <w:r w:rsidR="00C41A5D">
        <w:t>“)</w:t>
      </w:r>
      <w:r w:rsidR="00BC2E1B">
        <w:t xml:space="preserve"> nebo v dynamickém nákupním systému</w:t>
      </w:r>
      <w:r w:rsidR="00C41A5D">
        <w:t xml:space="preserve"> (dále jen „</w:t>
      </w:r>
      <w:r w:rsidR="00C41A5D" w:rsidRPr="00C41A5D">
        <w:rPr>
          <w:b/>
        </w:rPr>
        <w:t>DNS</w:t>
      </w:r>
      <w:r w:rsidR="00C41A5D">
        <w:t>“)</w:t>
      </w:r>
      <w:r w:rsidR="00BC2E1B">
        <w:t xml:space="preserve"> </w:t>
      </w:r>
      <w:r w:rsidR="00BC2E1B" w:rsidRPr="004934D3">
        <w:rPr>
          <w:b/>
        </w:rPr>
        <w:t>v případě,</w:t>
      </w:r>
      <w:r w:rsidR="00BC2E1B">
        <w:t xml:space="preserve"> </w:t>
      </w:r>
      <w:r w:rsidR="00BC2E1B" w:rsidRPr="004934D3">
        <w:rPr>
          <w:b/>
        </w:rPr>
        <w:t>kdy předpokládaná hodnota této rámcové dohody nebo dynamického nákupního systému přesahuje finanční limit pro určení nadlimitní veřejné zakázky</w:t>
      </w:r>
      <w:r w:rsidR="00BC2E1B">
        <w:t xml:space="preserve">. </w:t>
      </w:r>
      <w:r w:rsidR="002767D1">
        <w:t xml:space="preserve">Nerozhoduje tedy výše předpokládané hodnoty jednotlivé veřejné zakázky (VZ) zadané na základě </w:t>
      </w:r>
      <w:r w:rsidR="00C41A5D">
        <w:t>RD</w:t>
      </w:r>
      <w:r w:rsidR="002767D1">
        <w:t xml:space="preserve"> či v </w:t>
      </w:r>
      <w:r w:rsidR="00C41A5D">
        <w:t xml:space="preserve"> DNS</w:t>
      </w:r>
      <w:r w:rsidR="002767D1">
        <w:t xml:space="preserve"> - o tom, zda veřejné zakázky na základě dané RD či DNS budou spadat do působnosti ZPNV rozhodne předpokládaná hodnota samotné RD či DNS. Pokud je tedy RD či DNS nadlimitní, tak všechny VZ na jejich základě zadané budou spadat do působnosti ZPNV.</w:t>
      </w:r>
    </w:p>
    <w:p w14:paraId="1DC9C7BA" w14:textId="77777777" w:rsidR="00C60B9A" w:rsidRDefault="00C60B9A" w:rsidP="002772C4">
      <w:pPr>
        <w:pStyle w:val="Odstavecseseznamem"/>
        <w:jc w:val="both"/>
      </w:pPr>
    </w:p>
    <w:p w14:paraId="14EB372F" w14:textId="1D92BDE6" w:rsidR="0052646E" w:rsidRPr="00A75099" w:rsidRDefault="00BC2E1B" w:rsidP="002772C4">
      <w:pPr>
        <w:pStyle w:val="Odstavecseseznamem"/>
        <w:jc w:val="both"/>
        <w:rPr>
          <w:b/>
        </w:rPr>
      </w:pPr>
      <w:r>
        <w:t xml:space="preserve">Působnost </w:t>
      </w:r>
      <w:r w:rsidR="00D948ED">
        <w:t>ZPNV</w:t>
      </w:r>
      <w:r>
        <w:t xml:space="preserve"> však nedopadá přímo na samotné tyto </w:t>
      </w:r>
      <w:r w:rsidR="00C41A5D">
        <w:t>RD či</w:t>
      </w:r>
      <w:r>
        <w:t xml:space="preserve"> </w:t>
      </w:r>
      <w:r w:rsidR="00C41A5D">
        <w:t>DNS</w:t>
      </w:r>
      <w:r>
        <w:t xml:space="preserve">, neboť jejich prostřednictvím ještě nedochází k samotnému pořízení silničních vozidel či služeb, poskytovaných prostřednictvím silničního vozidla. </w:t>
      </w:r>
      <w:r w:rsidR="00651B7A" w:rsidRPr="00B831B9">
        <w:rPr>
          <w:b/>
        </w:rPr>
        <w:t xml:space="preserve">Do působnosti ZPNV tak spadají až smlouvy uzavřené na základě těchto </w:t>
      </w:r>
      <w:r w:rsidR="00C41A5D" w:rsidRPr="00B831B9">
        <w:rPr>
          <w:b/>
        </w:rPr>
        <w:t>RD</w:t>
      </w:r>
      <w:r w:rsidR="00651B7A" w:rsidRPr="00B831B9">
        <w:rPr>
          <w:b/>
        </w:rPr>
        <w:t xml:space="preserve"> či </w:t>
      </w:r>
      <w:r w:rsidR="00C41A5D" w:rsidRPr="00B831B9">
        <w:rPr>
          <w:b/>
        </w:rPr>
        <w:t>DNS</w:t>
      </w:r>
      <w:r w:rsidR="00651B7A" w:rsidRPr="00B831B9">
        <w:rPr>
          <w:b/>
        </w:rPr>
        <w:t>.</w:t>
      </w:r>
      <w:r w:rsidR="002767D1" w:rsidRPr="00B831B9">
        <w:rPr>
          <w:b/>
        </w:rPr>
        <w:t xml:space="preserve"> </w:t>
      </w:r>
    </w:p>
    <w:p w14:paraId="1EB0BE6C" w14:textId="77777777" w:rsidR="00555387" w:rsidRDefault="00555387" w:rsidP="002772C4">
      <w:pPr>
        <w:pStyle w:val="Odstavecseseznamem"/>
        <w:jc w:val="both"/>
      </w:pPr>
    </w:p>
    <w:p w14:paraId="7D85FF7C" w14:textId="757BFDDF" w:rsidR="0052646E" w:rsidRDefault="009009C3" w:rsidP="00C60B9A">
      <w:pPr>
        <w:pStyle w:val="Odstavecseseznamem"/>
        <w:numPr>
          <w:ilvl w:val="0"/>
          <w:numId w:val="32"/>
        </w:numPr>
        <w:jc w:val="both"/>
        <w:rPr>
          <w:b/>
        </w:rPr>
      </w:pPr>
      <w:r>
        <w:rPr>
          <w:b/>
        </w:rPr>
        <w:lastRenderedPageBreak/>
        <w:t>s</w:t>
      </w:r>
      <w:r w:rsidR="007E439A">
        <w:rPr>
          <w:b/>
        </w:rPr>
        <w:t xml:space="preserve">mlouvy na </w:t>
      </w:r>
      <w:r w:rsidR="0052646E" w:rsidRPr="0052646E">
        <w:rPr>
          <w:b/>
        </w:rPr>
        <w:t xml:space="preserve">veřejné služby v přepravě cestujících podle </w:t>
      </w:r>
      <w:r w:rsidR="00651B7A">
        <w:rPr>
          <w:b/>
        </w:rPr>
        <w:t>zákona</w:t>
      </w:r>
      <w:r w:rsidR="0052646E" w:rsidRPr="0052646E">
        <w:rPr>
          <w:b/>
        </w:rPr>
        <w:t xml:space="preserve"> o veřejných službách v přepravě cestujících, u nichž průměrná roční hodnota</w:t>
      </w:r>
      <w:r w:rsidR="0020674B">
        <w:rPr>
          <w:b/>
        </w:rPr>
        <w:t>,</w:t>
      </w:r>
      <w:r w:rsidR="0052646E" w:rsidRPr="0052646E">
        <w:rPr>
          <w:b/>
        </w:rPr>
        <w:t xml:space="preserve"> nebo počet kilometrů za rok přesáhne stanovené prahové hodnoty</w:t>
      </w:r>
      <w:r w:rsidR="0052646E" w:rsidRPr="004F3CA7">
        <w:rPr>
          <w:rStyle w:val="Znakapoznpodarou"/>
        </w:rPr>
        <w:footnoteReference w:id="3"/>
      </w:r>
    </w:p>
    <w:p w14:paraId="18A7387A" w14:textId="77777777" w:rsidR="00651B7A" w:rsidRDefault="00651B7A" w:rsidP="002772C4">
      <w:pPr>
        <w:pStyle w:val="Odstavecseseznamem"/>
        <w:jc w:val="both"/>
        <w:rPr>
          <w:b/>
        </w:rPr>
      </w:pPr>
    </w:p>
    <w:p w14:paraId="622E60AF" w14:textId="77777777" w:rsidR="00651B7A" w:rsidRDefault="00651B7A" w:rsidP="002772C4">
      <w:pPr>
        <w:pStyle w:val="Odstavecseseznamem"/>
        <w:jc w:val="both"/>
        <w:rPr>
          <w:b/>
        </w:rPr>
      </w:pPr>
    </w:p>
    <w:p w14:paraId="283FF48A" w14:textId="1B8EE597" w:rsidR="0052646E" w:rsidRPr="00071576" w:rsidRDefault="00DB1B32" w:rsidP="00C60B9A">
      <w:pPr>
        <w:pStyle w:val="Nadpis3"/>
      </w:pPr>
      <w:bookmarkStart w:id="5" w:name="_Toc157593038"/>
      <w:r>
        <w:t>2.1</w:t>
      </w:r>
      <w:r w:rsidR="00C60B9A">
        <w:t xml:space="preserve">c) </w:t>
      </w:r>
      <w:r w:rsidR="001A1B7D">
        <w:t>Z</w:t>
      </w:r>
      <w:r w:rsidR="0052646E" w:rsidRPr="00071576">
        <w:t>působ</w:t>
      </w:r>
      <w:r w:rsidR="00C60B9A">
        <w:t xml:space="preserve"> zadání</w:t>
      </w:r>
      <w:bookmarkEnd w:id="5"/>
    </w:p>
    <w:p w14:paraId="3C9130D8" w14:textId="77777777" w:rsidR="004934D3" w:rsidRDefault="009009C3" w:rsidP="002772C4">
      <w:pPr>
        <w:jc w:val="both"/>
      </w:pPr>
      <w:r>
        <w:t>Do působnosti ZPNV spadají jen</w:t>
      </w:r>
      <w:r w:rsidR="00EE767A" w:rsidRPr="00EE767A">
        <w:t xml:space="preserve"> smlouvy</w:t>
      </w:r>
      <w:r w:rsidR="00622B82">
        <w:t xml:space="preserve"> na </w:t>
      </w:r>
      <w:r w:rsidR="00A75099">
        <w:t xml:space="preserve">nadlimitní </w:t>
      </w:r>
      <w:r w:rsidR="00622B82">
        <w:t>veřejné zakázky</w:t>
      </w:r>
      <w:r w:rsidR="00EE767A" w:rsidRPr="00EE767A">
        <w:t>,</w:t>
      </w:r>
      <w:r w:rsidR="007A25E8" w:rsidRPr="004F3CA7">
        <w:t xml:space="preserve"> které byl zadavatel povinen zadat v zadávacím řízení </w:t>
      </w:r>
      <w:r w:rsidR="00EE767A">
        <w:t>(</w:t>
      </w:r>
      <w:r w:rsidR="0052646E" w:rsidRPr="004F3CA7">
        <w:t xml:space="preserve">s výjimkou koncesního řízení) </w:t>
      </w:r>
      <w:r w:rsidR="007A25E8" w:rsidRPr="004F3CA7">
        <w:t>podle</w:t>
      </w:r>
      <w:r w:rsidR="007E439A">
        <w:t xml:space="preserve"> </w:t>
      </w:r>
      <w:r w:rsidR="00BD1AC1">
        <w:t>ZZVZ</w:t>
      </w:r>
      <w:r w:rsidR="007E035D">
        <w:t xml:space="preserve">. </w:t>
      </w:r>
    </w:p>
    <w:p w14:paraId="4FB645E3" w14:textId="77777777" w:rsidR="004934D3" w:rsidRDefault="004934D3" w:rsidP="002772C4">
      <w:pPr>
        <w:jc w:val="both"/>
      </w:pPr>
      <w:r>
        <w:t>Specifický je případ VZ zadávaných na základě RD či v DNS - tyto spadají do působnosti ZPNV na základě zadávacího řízení, které vedlo k uzavření (nadlimitní) RD nebo zavedení DNS.</w:t>
      </w:r>
    </w:p>
    <w:p w14:paraId="3895193E" w14:textId="41BBD1DF" w:rsidR="0052646E" w:rsidRDefault="0052646E" w:rsidP="002772C4">
      <w:pPr>
        <w:jc w:val="both"/>
      </w:pPr>
      <w:r>
        <w:t xml:space="preserve">Do působnosti tedy </w:t>
      </w:r>
      <w:r w:rsidR="00211FB5">
        <w:t xml:space="preserve">např. </w:t>
      </w:r>
      <w:r>
        <w:t>nespadají</w:t>
      </w:r>
      <w:r w:rsidR="00477770">
        <w:t xml:space="preserve"> smlouvy uzavřené na</w:t>
      </w:r>
      <w:r>
        <w:t xml:space="preserve"> </w:t>
      </w:r>
      <w:r w:rsidR="00775364">
        <w:t xml:space="preserve">veřejné </w:t>
      </w:r>
      <w:r w:rsidR="00622B82">
        <w:t>zakázky zadané mimo zadávací řízení na základě</w:t>
      </w:r>
      <w:r w:rsidR="00A75099">
        <w:t xml:space="preserve"> obecné</w:t>
      </w:r>
      <w:r w:rsidR="00622B82">
        <w:t xml:space="preserve"> </w:t>
      </w:r>
      <w:r>
        <w:t>výjimky z povinnosti zadávat</w:t>
      </w:r>
      <w:r w:rsidR="00622B82">
        <w:t xml:space="preserve"> zakázku</w:t>
      </w:r>
      <w:r>
        <w:t xml:space="preserve"> v zadávacím řízení </w:t>
      </w:r>
      <w:r w:rsidR="00BB00C9">
        <w:t>nebo smlouvy uzavřené na základě vertikální či horizontální spolupráce</w:t>
      </w:r>
      <w:r w:rsidR="00211FB5">
        <w:t>.</w:t>
      </w:r>
    </w:p>
    <w:p w14:paraId="4AF62176" w14:textId="77777777" w:rsidR="005C18B6" w:rsidRDefault="005C18B6" w:rsidP="002772C4">
      <w:pPr>
        <w:jc w:val="both"/>
        <w:rPr>
          <w:b/>
        </w:rPr>
      </w:pPr>
    </w:p>
    <w:p w14:paraId="5F6E7FB6" w14:textId="15D2D32E" w:rsidR="00471D56" w:rsidRDefault="00DB1B32" w:rsidP="00C60B9A">
      <w:pPr>
        <w:pStyle w:val="Nadpis3"/>
      </w:pPr>
      <w:bookmarkStart w:id="6" w:name="_Toc157593039"/>
      <w:r>
        <w:t>2.1</w:t>
      </w:r>
      <w:r w:rsidR="00C60B9A">
        <w:t xml:space="preserve">d) </w:t>
      </w:r>
      <w:r w:rsidR="001A1B7D" w:rsidRPr="00C60B9A">
        <w:t>P</w:t>
      </w:r>
      <w:r w:rsidR="00471D56" w:rsidRPr="00C60B9A">
        <w:t xml:space="preserve">ředmět </w:t>
      </w:r>
      <w:r w:rsidR="003F1D83" w:rsidRPr="00C60B9A">
        <w:t>smlouvy</w:t>
      </w:r>
      <w:bookmarkEnd w:id="6"/>
    </w:p>
    <w:p w14:paraId="08A82657" w14:textId="737F251A" w:rsidR="009009C3" w:rsidRPr="009009C3" w:rsidRDefault="009009C3" w:rsidP="009009C3">
      <w:r>
        <w:t xml:space="preserve">Do působnosti ZPNV spadají smlouvy </w:t>
      </w:r>
      <w:r w:rsidRPr="009C00D5">
        <w:rPr>
          <w:b/>
        </w:rPr>
        <w:t>s níže uvedeným předmětem plnění</w:t>
      </w:r>
      <w:r>
        <w:t>:</w:t>
      </w:r>
    </w:p>
    <w:p w14:paraId="2D264CC6" w14:textId="360D419F" w:rsidR="00EE767A" w:rsidRDefault="001A1B7D" w:rsidP="00EE767A">
      <w:pPr>
        <w:pStyle w:val="Odstavecseseznamem"/>
        <w:numPr>
          <w:ilvl w:val="0"/>
          <w:numId w:val="16"/>
        </w:numPr>
        <w:jc w:val="both"/>
      </w:pPr>
      <w:r>
        <w:rPr>
          <w:b/>
        </w:rPr>
        <w:t>S</w:t>
      </w:r>
      <w:r w:rsidR="00EE767A" w:rsidRPr="005F3F2B">
        <w:rPr>
          <w:b/>
        </w:rPr>
        <w:t>ml</w:t>
      </w:r>
      <w:r w:rsidR="004427AF">
        <w:rPr>
          <w:b/>
        </w:rPr>
        <w:t>o</w:t>
      </w:r>
      <w:r w:rsidR="00EE767A" w:rsidRPr="005F3F2B">
        <w:rPr>
          <w:b/>
        </w:rPr>
        <w:t>uv</w:t>
      </w:r>
      <w:r>
        <w:rPr>
          <w:b/>
        </w:rPr>
        <w:t>y</w:t>
      </w:r>
      <w:r w:rsidR="00EE767A" w:rsidRPr="005F3F2B">
        <w:rPr>
          <w:b/>
        </w:rPr>
        <w:t xml:space="preserve"> uzavíran</w:t>
      </w:r>
      <w:r w:rsidR="004427AF">
        <w:rPr>
          <w:b/>
        </w:rPr>
        <w:t>é</w:t>
      </w:r>
      <w:r w:rsidR="00EE767A" w:rsidRPr="005F3F2B">
        <w:rPr>
          <w:b/>
        </w:rPr>
        <w:t xml:space="preserve"> na veřejné zakázky</w:t>
      </w:r>
      <w:r w:rsidR="00EE767A">
        <w:t xml:space="preserve">, jejichž předmětem je nákup, leasing nebo pronájem silničního vozidla </w:t>
      </w:r>
      <w:r w:rsidR="009C00D5">
        <w:t>podle</w:t>
      </w:r>
      <w:r w:rsidR="00EE767A">
        <w:t> </w:t>
      </w:r>
      <w:r w:rsidR="00B65B86">
        <w:t>§</w:t>
      </w:r>
      <w:r w:rsidR="00EE767A">
        <w:t xml:space="preserve"> 2 odst. 3 </w:t>
      </w:r>
      <w:r w:rsidR="00D948ED">
        <w:t>ZPNV</w:t>
      </w:r>
      <w:r w:rsidR="009C00D5">
        <w:t>,</w:t>
      </w:r>
      <w:r w:rsidR="00CC546A">
        <w:t xml:space="preserve"> </w:t>
      </w:r>
      <w:r w:rsidR="009C00D5">
        <w:t xml:space="preserve">tedy vozidla, </w:t>
      </w:r>
      <w:r w:rsidR="00CC546A">
        <w:t>kter</w:t>
      </w:r>
      <w:r w:rsidR="009C00D5">
        <w:t>ého</w:t>
      </w:r>
      <w:r w:rsidR="00CC546A">
        <w:t xml:space="preserve"> se působnost ZPNV</w:t>
      </w:r>
      <w:r w:rsidR="00CC546A" w:rsidRPr="00EC68D2">
        <w:t xml:space="preserve"> týká</w:t>
      </w:r>
      <w:r w:rsidR="009C00D5">
        <w:t xml:space="preserve"> </w:t>
      </w:r>
      <w:r w:rsidR="009C00D5" w:rsidRPr="00514052">
        <w:rPr>
          <w:rFonts w:cstheme="minorHAnsi"/>
        </w:rPr>
        <w:t>(viz</w:t>
      </w:r>
      <w:r w:rsidR="009C00D5" w:rsidRPr="00EC68D2">
        <w:t xml:space="preserve"> </w:t>
      </w:r>
      <w:r w:rsidR="009C00D5">
        <w:t xml:space="preserve">podkapitola 2.2). </w:t>
      </w:r>
      <w:r w:rsidR="00EE767A">
        <w:t xml:space="preserve">Nákupem se rozumí i nákup na splátky. </w:t>
      </w:r>
    </w:p>
    <w:p w14:paraId="315C11BC" w14:textId="586273E8" w:rsidR="003F1D83" w:rsidRDefault="004427AF" w:rsidP="00EE767A">
      <w:pPr>
        <w:pStyle w:val="Odstavecseseznamem"/>
        <w:numPr>
          <w:ilvl w:val="0"/>
          <w:numId w:val="16"/>
        </w:numPr>
        <w:jc w:val="both"/>
      </w:pPr>
      <w:r w:rsidRPr="00071576">
        <w:rPr>
          <w:b/>
        </w:rPr>
        <w:t>Smlouvy</w:t>
      </w:r>
      <w:r w:rsidR="00471D56" w:rsidRPr="004427AF">
        <w:rPr>
          <w:b/>
        </w:rPr>
        <w:t xml:space="preserve"> </w:t>
      </w:r>
      <w:r w:rsidR="00471D56" w:rsidRPr="002772C4">
        <w:rPr>
          <w:b/>
        </w:rPr>
        <w:t>uzavíran</w:t>
      </w:r>
      <w:r>
        <w:rPr>
          <w:b/>
        </w:rPr>
        <w:t>é</w:t>
      </w:r>
      <w:r w:rsidR="00471D56" w:rsidRPr="002772C4">
        <w:rPr>
          <w:b/>
        </w:rPr>
        <w:t xml:space="preserve"> na veřejné zakázky na</w:t>
      </w:r>
      <w:r w:rsidR="009C00D5">
        <w:rPr>
          <w:b/>
        </w:rPr>
        <w:t xml:space="preserve"> služby</w:t>
      </w:r>
      <w:r w:rsidR="00514052">
        <w:t xml:space="preserve">, které </w:t>
      </w:r>
      <w:r w:rsidR="00D948ED">
        <w:t xml:space="preserve">ZPNV </w:t>
      </w:r>
      <w:r w:rsidR="00514052">
        <w:t>vyjmenová</w:t>
      </w:r>
      <w:r w:rsidR="005B555D">
        <w:t>vá</w:t>
      </w:r>
      <w:r w:rsidR="00514052">
        <w:t xml:space="preserve"> v příloze č. 1</w:t>
      </w:r>
      <w:r w:rsidR="00471D56">
        <w:t>,</w:t>
      </w:r>
      <w:r w:rsidR="00471D56" w:rsidRPr="00471D56">
        <w:t xml:space="preserve"> pokud </w:t>
      </w:r>
      <w:r w:rsidR="001A1B7D">
        <w:t>je k jejich plnění využíváno</w:t>
      </w:r>
      <w:r w:rsidR="00471D56" w:rsidRPr="00471D56">
        <w:t xml:space="preserve"> </w:t>
      </w:r>
      <w:r w:rsidR="00471D56">
        <w:t>silniční vozidl</w:t>
      </w:r>
      <w:r w:rsidR="001A1B7D">
        <w:t>o</w:t>
      </w:r>
      <w:r w:rsidR="00471D56">
        <w:t xml:space="preserve"> </w:t>
      </w:r>
      <w:r w:rsidR="00CC546A">
        <w:t>definované</w:t>
      </w:r>
      <w:r w:rsidR="00471D56">
        <w:t xml:space="preserve"> v </w:t>
      </w:r>
      <w:r w:rsidR="00B65B86">
        <w:t>§</w:t>
      </w:r>
      <w:r w:rsidR="00471D56">
        <w:t xml:space="preserve"> </w:t>
      </w:r>
      <w:r w:rsidR="003F1D83">
        <w:t xml:space="preserve">2 odst. 3 </w:t>
      </w:r>
      <w:r w:rsidR="00D948ED">
        <w:t>ZPNV</w:t>
      </w:r>
      <w:r w:rsidR="005B555D">
        <w:t xml:space="preserve"> </w:t>
      </w:r>
      <w:r w:rsidR="003F1D83" w:rsidRPr="00514052">
        <w:rPr>
          <w:rFonts w:cstheme="minorHAnsi"/>
        </w:rPr>
        <w:t>(viz</w:t>
      </w:r>
      <w:r w:rsidR="003F1D83" w:rsidRPr="00EC68D2">
        <w:t xml:space="preserve"> </w:t>
      </w:r>
      <w:r w:rsidR="009C00D5">
        <w:t>podkapitola 2.2.</w:t>
      </w:r>
      <w:r w:rsidR="003F1D83" w:rsidRPr="00EC68D2">
        <w:t>).</w:t>
      </w:r>
      <w:r w:rsidR="009C00D5">
        <w:t xml:space="preserve"> Jsou to tyto služby: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9C00D5" w:rsidRPr="00DD5FE8" w14:paraId="1CF0AF83" w14:textId="77777777" w:rsidTr="00457606">
        <w:tc>
          <w:tcPr>
            <w:tcW w:w="4531" w:type="dxa"/>
            <w:shd w:val="clear" w:color="auto" w:fill="auto"/>
          </w:tcPr>
          <w:p w14:paraId="4476CF04"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Služby veřejné silniční dopravy</w:t>
            </w:r>
          </w:p>
        </w:tc>
      </w:tr>
      <w:tr w:rsidR="009C00D5" w:rsidRPr="00DD5FE8" w14:paraId="3E565D50" w14:textId="77777777" w:rsidTr="00457606">
        <w:tc>
          <w:tcPr>
            <w:tcW w:w="4531" w:type="dxa"/>
            <w:shd w:val="clear" w:color="auto" w:fill="auto"/>
          </w:tcPr>
          <w:p w14:paraId="5889ED02"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Služby jednoúčelové silniční osobní dopravy</w:t>
            </w:r>
          </w:p>
        </w:tc>
      </w:tr>
      <w:tr w:rsidR="009C00D5" w:rsidRPr="00DD5FE8" w14:paraId="39DBB951" w14:textId="77777777" w:rsidTr="00457606">
        <w:tc>
          <w:tcPr>
            <w:tcW w:w="4531" w:type="dxa"/>
            <w:shd w:val="clear" w:color="auto" w:fill="auto"/>
          </w:tcPr>
          <w:p w14:paraId="12469C02"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Nepravidelná osobní doprava</w:t>
            </w:r>
          </w:p>
        </w:tc>
      </w:tr>
      <w:tr w:rsidR="009C00D5" w:rsidRPr="00DD5FE8" w14:paraId="525F8891" w14:textId="77777777" w:rsidTr="00457606">
        <w:tc>
          <w:tcPr>
            <w:tcW w:w="4531" w:type="dxa"/>
            <w:shd w:val="clear" w:color="auto" w:fill="auto"/>
          </w:tcPr>
          <w:p w14:paraId="3D6121EE"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Sběr odpadu</w:t>
            </w:r>
          </w:p>
        </w:tc>
      </w:tr>
      <w:tr w:rsidR="009C00D5" w:rsidRPr="00DD5FE8" w14:paraId="47680ABA" w14:textId="77777777" w:rsidTr="00457606">
        <w:tc>
          <w:tcPr>
            <w:tcW w:w="4531" w:type="dxa"/>
            <w:shd w:val="clear" w:color="auto" w:fill="auto"/>
          </w:tcPr>
          <w:p w14:paraId="36070C1A"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Silniční poštovní doprava</w:t>
            </w:r>
          </w:p>
        </w:tc>
      </w:tr>
      <w:tr w:rsidR="009C00D5" w:rsidRPr="00DD5FE8" w14:paraId="5864745A" w14:textId="77777777" w:rsidTr="00457606">
        <w:tc>
          <w:tcPr>
            <w:tcW w:w="4531" w:type="dxa"/>
            <w:shd w:val="clear" w:color="auto" w:fill="auto"/>
          </w:tcPr>
          <w:p w14:paraId="7D704DC5"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Přeprava balíků</w:t>
            </w:r>
          </w:p>
        </w:tc>
      </w:tr>
      <w:tr w:rsidR="009C00D5" w:rsidRPr="00DD5FE8" w14:paraId="7C1307BE" w14:textId="77777777" w:rsidTr="00457606">
        <w:tc>
          <w:tcPr>
            <w:tcW w:w="4531" w:type="dxa"/>
            <w:shd w:val="clear" w:color="auto" w:fill="auto"/>
          </w:tcPr>
          <w:p w14:paraId="20D08F37" w14:textId="77777777"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Doručování pošty</w:t>
            </w:r>
          </w:p>
        </w:tc>
      </w:tr>
      <w:tr w:rsidR="009C00D5" w:rsidRPr="00DD5FE8" w14:paraId="5EE08942" w14:textId="77777777" w:rsidTr="00457606">
        <w:tc>
          <w:tcPr>
            <w:tcW w:w="4531" w:type="dxa"/>
            <w:shd w:val="clear" w:color="auto" w:fill="auto"/>
          </w:tcPr>
          <w:p w14:paraId="532C2050" w14:textId="3E1BA1BB" w:rsidR="009C00D5" w:rsidRPr="009C00D5" w:rsidRDefault="009C00D5" w:rsidP="00457606">
            <w:pPr>
              <w:pStyle w:val="odstavec"/>
              <w:spacing w:before="0"/>
              <w:ind w:firstLine="0"/>
              <w:rPr>
                <w:rFonts w:asciiTheme="minorHAnsi" w:hAnsiTheme="minorHAnsi" w:cstheme="minorHAnsi"/>
                <w:sz w:val="22"/>
                <w:szCs w:val="22"/>
              </w:rPr>
            </w:pPr>
            <w:r w:rsidRPr="009C00D5">
              <w:rPr>
                <w:rFonts w:asciiTheme="minorHAnsi" w:hAnsiTheme="minorHAnsi" w:cstheme="minorHAnsi"/>
                <w:sz w:val="22"/>
                <w:szCs w:val="22"/>
              </w:rPr>
              <w:t>Doručování balíků</w:t>
            </w:r>
          </w:p>
        </w:tc>
      </w:tr>
    </w:tbl>
    <w:p w14:paraId="54057754" w14:textId="77777777" w:rsidR="009C00D5" w:rsidRDefault="009C00D5" w:rsidP="009C00D5">
      <w:pPr>
        <w:jc w:val="both"/>
      </w:pPr>
    </w:p>
    <w:p w14:paraId="34212FEA" w14:textId="1F67C738" w:rsidR="0066086C" w:rsidRDefault="00471D56" w:rsidP="002772C4">
      <w:pPr>
        <w:pStyle w:val="Odstavecseseznamem"/>
        <w:numPr>
          <w:ilvl w:val="0"/>
          <w:numId w:val="16"/>
        </w:numPr>
        <w:jc w:val="both"/>
      </w:pPr>
      <w:r>
        <w:lastRenderedPageBreak/>
        <w:t xml:space="preserve">V případě </w:t>
      </w:r>
      <w:r w:rsidR="003F1D83" w:rsidRPr="002772C4">
        <w:rPr>
          <w:b/>
        </w:rPr>
        <w:t>smluv uzavíraných na veřejné služby</w:t>
      </w:r>
      <w:r w:rsidR="00514052" w:rsidRPr="002772C4">
        <w:rPr>
          <w:b/>
        </w:rPr>
        <w:t xml:space="preserve"> v přepravě cestujících</w:t>
      </w:r>
      <w:r w:rsidR="00514052">
        <w:t xml:space="preserve"> podle </w:t>
      </w:r>
      <w:r w:rsidR="009C00D5">
        <w:t>zákona</w:t>
      </w:r>
      <w:r w:rsidR="00514052">
        <w:t xml:space="preserve"> o veřejných </w:t>
      </w:r>
      <w:r>
        <w:t>službách v přepravě cestujících rovněž jen ty, které budou poskytovány prostřednictvím</w:t>
      </w:r>
      <w:r w:rsidR="00514052">
        <w:t xml:space="preserve"> </w:t>
      </w:r>
      <w:r>
        <w:t>silničního vozidla upraveného v </w:t>
      </w:r>
      <w:r w:rsidR="00B65B86">
        <w:t>§</w:t>
      </w:r>
      <w:r>
        <w:t xml:space="preserve"> 2 odst. 3 </w:t>
      </w:r>
      <w:r w:rsidR="00D948ED">
        <w:t>ZPNV</w:t>
      </w:r>
      <w:r w:rsidR="003F1D83">
        <w:t xml:space="preserve"> </w:t>
      </w:r>
      <w:r w:rsidR="003F1D83" w:rsidRPr="00514052">
        <w:rPr>
          <w:rFonts w:cstheme="minorHAnsi"/>
        </w:rPr>
        <w:t>(viz</w:t>
      </w:r>
      <w:r w:rsidR="003F1D83" w:rsidRPr="00EC68D2">
        <w:t xml:space="preserve"> </w:t>
      </w:r>
      <w:r w:rsidR="00613BDD">
        <w:t>podkapitola 2.2.</w:t>
      </w:r>
      <w:r w:rsidR="003F1D83" w:rsidRPr="00EC68D2">
        <w:t>).</w:t>
      </w:r>
    </w:p>
    <w:p w14:paraId="7837FCF2" w14:textId="22042C7D" w:rsidR="007A25E8" w:rsidRDefault="00D948ED" w:rsidP="00613BDD">
      <w:pPr>
        <w:jc w:val="both"/>
      </w:pPr>
      <w:r w:rsidRPr="00613BDD">
        <w:rPr>
          <w:b/>
        </w:rPr>
        <w:t>ZPNV</w:t>
      </w:r>
      <w:r w:rsidR="005B555D" w:rsidRPr="00613BDD">
        <w:rPr>
          <w:b/>
        </w:rPr>
        <w:t xml:space="preserve"> dopadá</w:t>
      </w:r>
      <w:r w:rsidR="00E93144" w:rsidRPr="00613BDD">
        <w:rPr>
          <w:b/>
        </w:rPr>
        <w:t xml:space="preserve"> na uvedené smlouvy i v případě, že </w:t>
      </w:r>
      <w:r w:rsidR="004934D3">
        <w:rPr>
          <w:b/>
        </w:rPr>
        <w:t xml:space="preserve">se týkají </w:t>
      </w:r>
      <w:r w:rsidR="00FB20A2" w:rsidRPr="00613BDD">
        <w:rPr>
          <w:b/>
        </w:rPr>
        <w:t xml:space="preserve">vedle </w:t>
      </w:r>
      <w:r w:rsidR="00E93144" w:rsidRPr="00613BDD">
        <w:rPr>
          <w:b/>
        </w:rPr>
        <w:t xml:space="preserve">vozidel </w:t>
      </w:r>
      <w:r w:rsidR="004934D3">
        <w:rPr>
          <w:b/>
        </w:rPr>
        <w:t xml:space="preserve">spadajících do působnosti ZPNV </w:t>
      </w:r>
      <w:r w:rsidR="00E93144" w:rsidRPr="00613BDD">
        <w:rPr>
          <w:b/>
        </w:rPr>
        <w:t>i</w:t>
      </w:r>
      <w:r w:rsidR="004934D3">
        <w:rPr>
          <w:b/>
        </w:rPr>
        <w:t xml:space="preserve"> jiných</w:t>
      </w:r>
      <w:r w:rsidR="00E93144" w:rsidRPr="00613BDD">
        <w:rPr>
          <w:b/>
        </w:rPr>
        <w:t xml:space="preserve"> </w:t>
      </w:r>
      <w:r w:rsidR="004934D3">
        <w:rPr>
          <w:b/>
        </w:rPr>
        <w:t>vozidel (do působnosti ZPNV nespadajících)</w:t>
      </w:r>
      <w:r w:rsidR="00E93144" w:rsidRPr="00613BDD">
        <w:rPr>
          <w:b/>
        </w:rPr>
        <w:t>.</w:t>
      </w:r>
      <w:r w:rsidR="00E93144">
        <w:t xml:space="preserve"> Tato jiná vozidla se však pro účely výpočtu minimálních podílů </w:t>
      </w:r>
      <w:proofErr w:type="spellStart"/>
      <w:r w:rsidR="00E93144">
        <w:t>nízkoemisních</w:t>
      </w:r>
      <w:proofErr w:type="spellEnd"/>
      <w:r w:rsidR="00E93144">
        <w:t xml:space="preserve"> vozidel nezohledňují.</w:t>
      </w:r>
      <w:r w:rsidR="008E2E3D">
        <w:t xml:space="preserve"> Např. pokud by v jedné zakázce byla pořizována či využívána vozidla kategorie M3 třídy I a současně i vozidla kategorie M3 třídy II, tak se budou pro výpočet minimálního podílu </w:t>
      </w:r>
      <w:proofErr w:type="spellStart"/>
      <w:r w:rsidR="008E2E3D">
        <w:t>nízkoemisních</w:t>
      </w:r>
      <w:proofErr w:type="spellEnd"/>
      <w:r w:rsidR="008E2E3D">
        <w:t xml:space="preserve"> vozidel zohledňovat pouze vozidla kategorie M3 třídy I a nikoliv vozidla kateg</w:t>
      </w:r>
      <w:r w:rsidR="00613BDD">
        <w:t>orie M3 třídy II</w:t>
      </w:r>
      <w:r w:rsidR="008E2E3D">
        <w:t>, neboť v případě vozidel kategorie M3 třídy II se nejedná o vozidlo definované v § 2 odst. 3 ZPNV.</w:t>
      </w:r>
    </w:p>
    <w:p w14:paraId="16EFC10F" w14:textId="6FD6E7EE" w:rsidR="003F1D83" w:rsidRPr="00DA4430" w:rsidRDefault="00DB1B32" w:rsidP="00DA4430">
      <w:pPr>
        <w:pStyle w:val="Nadpis3"/>
      </w:pPr>
      <w:bookmarkStart w:id="7" w:name="_Toc157593040"/>
      <w:r>
        <w:t>2.1</w:t>
      </w:r>
      <w:r w:rsidR="00DA4430">
        <w:t xml:space="preserve">e) </w:t>
      </w:r>
      <w:r w:rsidR="001F750B">
        <w:t>Časový aspekt</w:t>
      </w:r>
      <w:bookmarkEnd w:id="7"/>
    </w:p>
    <w:p w14:paraId="06CE1AB8" w14:textId="09A44C4F" w:rsidR="00A83C5F" w:rsidRPr="00613BDD" w:rsidRDefault="00613BDD" w:rsidP="00A83C5F">
      <w:pPr>
        <w:pStyle w:val="Odstavecseseznamem"/>
        <w:jc w:val="both"/>
        <w:rPr>
          <w:b/>
        </w:rPr>
      </w:pPr>
      <w:r>
        <w:rPr>
          <w:b/>
        </w:rPr>
        <w:t>Do působnosti ZPNV spadají:</w:t>
      </w:r>
    </w:p>
    <w:p w14:paraId="2BE3B626" w14:textId="77777777" w:rsidR="000C1365" w:rsidRDefault="000C1365" w:rsidP="00A83C5F">
      <w:pPr>
        <w:pStyle w:val="Odstavecseseznamem"/>
        <w:jc w:val="both"/>
      </w:pPr>
    </w:p>
    <w:p w14:paraId="3B0C7A22" w14:textId="1F8C76AD" w:rsidR="008E2E3D" w:rsidRDefault="00613BDD" w:rsidP="000C1365">
      <w:pPr>
        <w:pStyle w:val="Odstavecseseznamem"/>
        <w:numPr>
          <w:ilvl w:val="0"/>
          <w:numId w:val="16"/>
        </w:numPr>
        <w:jc w:val="both"/>
      </w:pPr>
      <w:r w:rsidRPr="00A21F40">
        <w:rPr>
          <w:b/>
        </w:rPr>
        <w:t>S</w:t>
      </w:r>
      <w:r w:rsidR="009009C3" w:rsidRPr="00A21F40">
        <w:rPr>
          <w:b/>
        </w:rPr>
        <w:t xml:space="preserve">mlouvy </w:t>
      </w:r>
      <w:r w:rsidR="001719B1" w:rsidRPr="00A21F40">
        <w:rPr>
          <w:b/>
        </w:rPr>
        <w:t xml:space="preserve">uzavřené na základě zadávacích řízení zahájených </w:t>
      </w:r>
      <w:r w:rsidR="005B555D" w:rsidRPr="00A21F40">
        <w:rPr>
          <w:b/>
        </w:rPr>
        <w:t>ode dne</w:t>
      </w:r>
      <w:r w:rsidR="001719B1" w:rsidRPr="00A21F40">
        <w:rPr>
          <w:b/>
        </w:rPr>
        <w:t xml:space="preserve"> nabytí účinnosti</w:t>
      </w:r>
      <w:r w:rsidR="001719B1" w:rsidRPr="002772C4">
        <w:t xml:space="preserve"> </w:t>
      </w:r>
      <w:r w:rsidR="00D948ED" w:rsidRPr="00A21F40">
        <w:rPr>
          <w:b/>
        </w:rPr>
        <w:t>ZPNV</w:t>
      </w:r>
      <w:r w:rsidR="001719B1" w:rsidRPr="00A21F40">
        <w:rPr>
          <w:b/>
        </w:rPr>
        <w:t xml:space="preserve"> </w:t>
      </w:r>
    </w:p>
    <w:p w14:paraId="6AB18357" w14:textId="77777777" w:rsidR="00A21F40" w:rsidRDefault="00A21F40" w:rsidP="00A21F40">
      <w:pPr>
        <w:pStyle w:val="Odstavecseseznamem"/>
        <w:jc w:val="both"/>
      </w:pPr>
    </w:p>
    <w:p w14:paraId="22CFAD11" w14:textId="77777777" w:rsidR="00A21F40" w:rsidRPr="00A21F40" w:rsidRDefault="00613BDD" w:rsidP="00613BDD">
      <w:pPr>
        <w:pStyle w:val="Odstavecseseznamem"/>
        <w:numPr>
          <w:ilvl w:val="0"/>
          <w:numId w:val="16"/>
        </w:numPr>
        <w:jc w:val="both"/>
        <w:rPr>
          <w:b/>
        </w:rPr>
      </w:pPr>
      <w:r w:rsidRPr="00A21F40">
        <w:rPr>
          <w:b/>
        </w:rPr>
        <w:t>S</w:t>
      </w:r>
      <w:r w:rsidR="00A83C5F" w:rsidRPr="00A21F40">
        <w:rPr>
          <w:b/>
        </w:rPr>
        <w:t>mlouvy uzavřené na veřejné zakázky zadané</w:t>
      </w:r>
      <w:r w:rsidR="001719B1" w:rsidRPr="00A21F40">
        <w:rPr>
          <w:b/>
        </w:rPr>
        <w:t xml:space="preserve"> na základě </w:t>
      </w:r>
      <w:r w:rsidRPr="00A21F40">
        <w:rPr>
          <w:b/>
        </w:rPr>
        <w:t>RD či DNS</w:t>
      </w:r>
      <w:r w:rsidR="001719B1" w:rsidRPr="00A21F40">
        <w:rPr>
          <w:b/>
        </w:rPr>
        <w:t xml:space="preserve">, u kterých bylo zadávací řízení na uzavření této </w:t>
      </w:r>
      <w:r w:rsidRPr="00A21F40">
        <w:rPr>
          <w:b/>
        </w:rPr>
        <w:t>RD</w:t>
      </w:r>
      <w:r w:rsidR="001719B1" w:rsidRPr="00A21F40">
        <w:rPr>
          <w:b/>
        </w:rPr>
        <w:t xml:space="preserve"> či zavedení tohoto </w:t>
      </w:r>
      <w:r w:rsidRPr="00A21F40">
        <w:rPr>
          <w:b/>
        </w:rPr>
        <w:t>DNS</w:t>
      </w:r>
      <w:r w:rsidR="001719B1" w:rsidRPr="00A21F40">
        <w:rPr>
          <w:b/>
        </w:rPr>
        <w:t xml:space="preserve"> zahájeno </w:t>
      </w:r>
      <w:r w:rsidR="005B555D" w:rsidRPr="00A21F40">
        <w:rPr>
          <w:b/>
        </w:rPr>
        <w:t>ode</w:t>
      </w:r>
      <w:r w:rsidR="001719B1" w:rsidRPr="00A21F40">
        <w:rPr>
          <w:b/>
        </w:rPr>
        <w:t xml:space="preserve"> dn</w:t>
      </w:r>
      <w:r w:rsidR="005B555D" w:rsidRPr="00A21F40">
        <w:rPr>
          <w:b/>
        </w:rPr>
        <w:t>e</w:t>
      </w:r>
      <w:r w:rsidR="001719B1" w:rsidRPr="00A21F40">
        <w:rPr>
          <w:b/>
        </w:rPr>
        <w:t xml:space="preserve"> nabytí účinnosti </w:t>
      </w:r>
      <w:r w:rsidR="00CC546A" w:rsidRPr="00A21F40">
        <w:rPr>
          <w:b/>
        </w:rPr>
        <w:t>ZPNV</w:t>
      </w:r>
      <w:r w:rsidR="001719B1" w:rsidRPr="00A21F40">
        <w:rPr>
          <w:b/>
        </w:rPr>
        <w:t xml:space="preserve">. </w:t>
      </w:r>
    </w:p>
    <w:p w14:paraId="0B6BE126" w14:textId="77777777" w:rsidR="00A21F40" w:rsidRDefault="00A21F40" w:rsidP="00A21F40">
      <w:pPr>
        <w:pStyle w:val="Odstavecseseznamem"/>
        <w:jc w:val="both"/>
      </w:pPr>
    </w:p>
    <w:p w14:paraId="1C8D523F" w14:textId="18355053" w:rsidR="00613BDD" w:rsidRDefault="001719B1" w:rsidP="00A21F40">
      <w:pPr>
        <w:pStyle w:val="Odstavecseseznamem"/>
        <w:jc w:val="both"/>
      </w:pPr>
      <w:r w:rsidRPr="002772C4">
        <w:t xml:space="preserve">Dosažení stanoveného minimálního podílu </w:t>
      </w:r>
      <w:proofErr w:type="spellStart"/>
      <w:r w:rsidRPr="002772C4">
        <w:t>nízkoemisních</w:t>
      </w:r>
      <w:proofErr w:type="spellEnd"/>
      <w:r w:rsidRPr="002772C4">
        <w:t xml:space="preserve"> vozidel bude </w:t>
      </w:r>
      <w:r w:rsidR="005B555D">
        <w:t>posuzováno</w:t>
      </w:r>
      <w:r w:rsidR="005B555D" w:rsidRPr="002772C4">
        <w:t xml:space="preserve"> </w:t>
      </w:r>
      <w:r w:rsidR="005B555D">
        <w:t xml:space="preserve">ve vztahu ke dvěma </w:t>
      </w:r>
      <w:r w:rsidR="00CC546A">
        <w:t>sledovaným</w:t>
      </w:r>
      <w:r w:rsidR="005B555D">
        <w:t xml:space="preserve"> časovým obdobím (</w:t>
      </w:r>
      <w:r w:rsidR="001F60B4">
        <w:t xml:space="preserve">1. </w:t>
      </w:r>
      <w:r w:rsidR="005B555D">
        <w:t xml:space="preserve">od účinnosti </w:t>
      </w:r>
      <w:r w:rsidR="00D948ED">
        <w:t>ZPNV</w:t>
      </w:r>
      <w:r w:rsidR="005B555D">
        <w:t xml:space="preserve"> do 31. prosince 2025 a </w:t>
      </w:r>
      <w:r w:rsidR="001F60B4">
        <w:t xml:space="preserve">2. </w:t>
      </w:r>
      <w:r w:rsidR="005B555D">
        <w:t>od 1. ledna 2026 do 31. prosince 2030).</w:t>
      </w:r>
      <w:r w:rsidR="003E6465">
        <w:t xml:space="preserve"> Platí tedy, že pro to, aby smlouvy spadaly do působnosti ZPNV je rozhodující, že zadávací řízení bylo zahájeno po nabytí účinnosti zákona, a smlouva byla uzavřena do 31. prosince 2030. Pro to, do kterého z uvedených období budou po</w:t>
      </w:r>
      <w:r w:rsidR="008B53E0">
        <w:t>č</w:t>
      </w:r>
      <w:r w:rsidR="003E6465">
        <w:t>ty vozidel dle dané smlouvy započítány</w:t>
      </w:r>
      <w:r w:rsidR="008B53E0">
        <w:t>,</w:t>
      </w:r>
      <w:r w:rsidR="003E6465">
        <w:t xml:space="preserve"> je pak rozhodující, ve kterém ze sledovaných období došlo </w:t>
      </w:r>
      <w:r w:rsidR="008B53E0">
        <w:t xml:space="preserve">na základě uzavřené smlouvy </w:t>
      </w:r>
      <w:r w:rsidR="008B53E0" w:rsidRPr="00613BDD">
        <w:rPr>
          <w:u w:val="single"/>
        </w:rPr>
        <w:t>k uveřejnění oznámení o výsledku zadávacího řízení v Úředním věstníku Evropské unie</w:t>
      </w:r>
      <w:r w:rsidR="003E6465" w:rsidRPr="00613BDD">
        <w:t xml:space="preserve">. </w:t>
      </w:r>
    </w:p>
    <w:p w14:paraId="06FCFABB" w14:textId="77777777" w:rsidR="00A21F40" w:rsidRPr="002772C4" w:rsidRDefault="00A21F40" w:rsidP="00A21F40">
      <w:pPr>
        <w:pStyle w:val="Odstavecseseznamem"/>
        <w:jc w:val="both"/>
      </w:pPr>
    </w:p>
    <w:p w14:paraId="6D57DB0C" w14:textId="77777777" w:rsidR="00A21F40" w:rsidRPr="00A21F40" w:rsidRDefault="00613BDD" w:rsidP="008B53E0">
      <w:pPr>
        <w:pStyle w:val="Odstavecseseznamem"/>
        <w:numPr>
          <w:ilvl w:val="0"/>
          <w:numId w:val="16"/>
        </w:numPr>
        <w:jc w:val="both"/>
        <w:rPr>
          <w:b/>
        </w:rPr>
      </w:pPr>
      <w:r w:rsidRPr="00A21F40">
        <w:rPr>
          <w:b/>
        </w:rPr>
        <w:t xml:space="preserve">Smlouvy </w:t>
      </w:r>
      <w:r w:rsidR="000C1365" w:rsidRPr="00A21F40">
        <w:rPr>
          <w:b/>
        </w:rPr>
        <w:t>u</w:t>
      </w:r>
      <w:r w:rsidR="00A83C5F" w:rsidRPr="00A21F40">
        <w:rPr>
          <w:b/>
        </w:rPr>
        <w:t>zavřené na základě nabídkových řízení či přímých zadání</w:t>
      </w:r>
      <w:r w:rsidR="00A841BD" w:rsidRPr="00A21F40">
        <w:rPr>
          <w:b/>
        </w:rPr>
        <w:t xml:space="preserve"> podle </w:t>
      </w:r>
      <w:r w:rsidR="00CC546A" w:rsidRPr="00A21F40">
        <w:rPr>
          <w:b/>
        </w:rPr>
        <w:t>zákona</w:t>
      </w:r>
      <w:r w:rsidR="00A841BD" w:rsidRPr="00A21F40">
        <w:rPr>
          <w:b/>
        </w:rPr>
        <w:t xml:space="preserve"> o veřejných službách v přepravě cestujících</w:t>
      </w:r>
      <w:r w:rsidR="00A83C5F" w:rsidRPr="00A21F40">
        <w:rPr>
          <w:b/>
        </w:rPr>
        <w:t xml:space="preserve">, u kterých bylo nabídkové řízení zahájeno </w:t>
      </w:r>
      <w:r w:rsidR="005B555D" w:rsidRPr="00A21F40">
        <w:rPr>
          <w:b/>
        </w:rPr>
        <w:t>ode dne</w:t>
      </w:r>
      <w:r w:rsidR="00A83C5F" w:rsidRPr="00A21F40">
        <w:rPr>
          <w:b/>
        </w:rPr>
        <w:t xml:space="preserve"> nabytí účinnosti </w:t>
      </w:r>
      <w:r w:rsidR="00CC546A" w:rsidRPr="00A21F40">
        <w:rPr>
          <w:b/>
        </w:rPr>
        <w:t>ZPNV</w:t>
      </w:r>
      <w:r w:rsidR="00A83C5F" w:rsidRPr="00A21F40">
        <w:rPr>
          <w:b/>
        </w:rPr>
        <w:t xml:space="preserve">, nebo u nichž bylo jednání s dopravcem o přímém zadání zahájeno </w:t>
      </w:r>
      <w:r w:rsidR="005B555D" w:rsidRPr="00A21F40">
        <w:rPr>
          <w:b/>
        </w:rPr>
        <w:t>ode dne</w:t>
      </w:r>
      <w:r w:rsidR="00A83C5F" w:rsidRPr="00A21F40">
        <w:rPr>
          <w:b/>
        </w:rPr>
        <w:t xml:space="preserve"> nabytí účinnosti </w:t>
      </w:r>
      <w:r w:rsidR="00CC546A" w:rsidRPr="00A21F40">
        <w:rPr>
          <w:b/>
        </w:rPr>
        <w:t>ZPNV</w:t>
      </w:r>
      <w:r w:rsidR="00A83C5F" w:rsidRPr="00A21F40">
        <w:rPr>
          <w:b/>
        </w:rPr>
        <w:t xml:space="preserve">. </w:t>
      </w:r>
    </w:p>
    <w:p w14:paraId="5FED0846" w14:textId="77777777" w:rsidR="00A21F40" w:rsidRDefault="00A21F40" w:rsidP="00A21F40">
      <w:pPr>
        <w:pStyle w:val="Odstavecseseznamem"/>
        <w:jc w:val="both"/>
      </w:pPr>
    </w:p>
    <w:p w14:paraId="7D90CF51" w14:textId="1BD58F33" w:rsidR="009D2832" w:rsidRPr="002772C4" w:rsidRDefault="009D2832" w:rsidP="00A21F40">
      <w:pPr>
        <w:pStyle w:val="Odstavecseseznamem"/>
        <w:jc w:val="both"/>
      </w:pPr>
      <w:r w:rsidRPr="002772C4">
        <w:t xml:space="preserve">Dosažení stanoveného minimálního podílu </w:t>
      </w:r>
      <w:proofErr w:type="spellStart"/>
      <w:r w:rsidRPr="002772C4">
        <w:t>nízkoemisních</w:t>
      </w:r>
      <w:proofErr w:type="spellEnd"/>
      <w:r w:rsidRPr="002772C4">
        <w:t xml:space="preserve"> vozidel bude </w:t>
      </w:r>
      <w:r>
        <w:t>posuzováno</w:t>
      </w:r>
      <w:r w:rsidRPr="002772C4">
        <w:t xml:space="preserve"> </w:t>
      </w:r>
      <w:r>
        <w:t xml:space="preserve">ve vztahu ke dvěma </w:t>
      </w:r>
      <w:r w:rsidR="00CC546A">
        <w:t>sledovaným</w:t>
      </w:r>
      <w:r>
        <w:t xml:space="preserve"> časovým obdobím (</w:t>
      </w:r>
      <w:r w:rsidR="001F60B4">
        <w:t xml:space="preserve">1. </w:t>
      </w:r>
      <w:r>
        <w:t xml:space="preserve">od účinnosti </w:t>
      </w:r>
      <w:r w:rsidR="00D948ED">
        <w:t>ZPNV</w:t>
      </w:r>
      <w:r>
        <w:t xml:space="preserve"> do 31. prosince 2025 a </w:t>
      </w:r>
      <w:r w:rsidR="001F60B4">
        <w:t xml:space="preserve">2. </w:t>
      </w:r>
      <w:r>
        <w:t>od 1. ledna 2026 do 31. prosince 2030).</w:t>
      </w:r>
      <w:r w:rsidR="008B53E0" w:rsidRPr="008B53E0">
        <w:t xml:space="preserve"> Platí tedy, že pro to, aby smlouvy spadaly do působnosti ZPNV je rozhodující, že </w:t>
      </w:r>
      <w:r w:rsidR="008B53E0">
        <w:t>nabídkové</w:t>
      </w:r>
      <w:r w:rsidR="008B53E0" w:rsidRPr="008B53E0">
        <w:t xml:space="preserve"> řízení bylo zahájeno po nabytí účinnosti zákona, a smlouva byla uzavřena do 31. prosince 2030. Pro to, do které</w:t>
      </w:r>
      <w:r w:rsidR="008B53E0">
        <w:t>ho z uvedených období budou poč</w:t>
      </w:r>
      <w:r w:rsidR="008B53E0" w:rsidRPr="008B53E0">
        <w:t xml:space="preserve">ty vozidel dle dané smlouvy započítány, je pak rozhodující, ve kterém ze sledovaných období došlo </w:t>
      </w:r>
      <w:r w:rsidR="008B53E0" w:rsidRPr="00613BDD">
        <w:rPr>
          <w:u w:val="single"/>
        </w:rPr>
        <w:t>k uzavření smlouvy</w:t>
      </w:r>
      <w:r w:rsidR="008B53E0">
        <w:t>.</w:t>
      </w:r>
    </w:p>
    <w:p w14:paraId="376E61F1" w14:textId="77777777" w:rsidR="0001003F" w:rsidRDefault="0001003F" w:rsidP="00651B7A">
      <w:pPr>
        <w:pStyle w:val="Odstavecseseznamem"/>
        <w:jc w:val="both"/>
      </w:pPr>
    </w:p>
    <w:p w14:paraId="20B03CC9" w14:textId="000BE858" w:rsidR="0001003F" w:rsidRDefault="0001003F" w:rsidP="0032217D">
      <w:pPr>
        <w:pStyle w:val="Nadpis2"/>
      </w:pPr>
      <w:bookmarkStart w:id="8" w:name="_Toc157593041"/>
      <w:r w:rsidRPr="00E93144">
        <w:lastRenderedPageBreak/>
        <w:t>2.</w:t>
      </w:r>
      <w:r w:rsidR="00DA4430">
        <w:t>2.</w:t>
      </w:r>
      <w:r w:rsidRPr="00E93144">
        <w:t xml:space="preserve"> </w:t>
      </w:r>
      <w:r w:rsidR="007E6D2D">
        <w:t xml:space="preserve">Působnost </w:t>
      </w:r>
      <w:r w:rsidR="009D2832">
        <w:t xml:space="preserve">ZPNV </w:t>
      </w:r>
      <w:r w:rsidR="007E6D2D">
        <w:t>ve vztahu k druhům silničních vozidel</w:t>
      </w:r>
      <w:bookmarkEnd w:id="8"/>
    </w:p>
    <w:p w14:paraId="04C2E4BE" w14:textId="7CCDCA6E" w:rsidR="00613BDD" w:rsidRDefault="00613BDD" w:rsidP="00DB1B32">
      <w:pPr>
        <w:pStyle w:val="Nadpis3"/>
      </w:pPr>
    </w:p>
    <w:p w14:paraId="7DDBC608" w14:textId="25D4FEF0" w:rsidR="00DB1B32" w:rsidRDefault="00DB1B32" w:rsidP="00DB1B32">
      <w:pPr>
        <w:pStyle w:val="Nadpis3"/>
      </w:pPr>
      <w:bookmarkStart w:id="9" w:name="_Toc157593042"/>
      <w:r>
        <w:t xml:space="preserve">2.2a) Působnost </w:t>
      </w:r>
      <w:r w:rsidR="001F60B4">
        <w:t>dle kategorií vozidel</w:t>
      </w:r>
      <w:bookmarkEnd w:id="9"/>
    </w:p>
    <w:p w14:paraId="2418A384" w14:textId="6C1F3861" w:rsidR="0091442D" w:rsidRDefault="009F3E38" w:rsidP="0091442D">
      <w:pPr>
        <w:jc w:val="both"/>
      </w:pPr>
      <w:r>
        <w:t xml:space="preserve">Podle </w:t>
      </w:r>
      <w:r w:rsidR="00B65B86">
        <w:t>§</w:t>
      </w:r>
      <w:r w:rsidR="0091442D">
        <w:t xml:space="preserve"> 2 odst. 3 se </w:t>
      </w:r>
      <w:r w:rsidR="00D948ED">
        <w:t>ZPNV</w:t>
      </w:r>
      <w:r w:rsidR="009D2832">
        <w:t xml:space="preserve"> </w:t>
      </w:r>
      <w:r>
        <w:t>vztahuj</w:t>
      </w:r>
      <w:r w:rsidR="009D2832">
        <w:t>e</w:t>
      </w:r>
      <w:r w:rsidR="00817DA7">
        <w:t xml:space="preserve"> na výše vymezené smlouvy</w:t>
      </w:r>
      <w:r w:rsidR="0091442D">
        <w:t xml:space="preserve">, které se týkají </w:t>
      </w:r>
    </w:p>
    <w:p w14:paraId="6045D724" w14:textId="01DA284E" w:rsidR="0091442D" w:rsidRDefault="0091442D" w:rsidP="0091442D">
      <w:pPr>
        <w:jc w:val="both"/>
      </w:pPr>
      <w:r>
        <w:t>- silničního vozidla kategorie M1</w:t>
      </w:r>
      <w:r w:rsidR="006229D2">
        <w:rPr>
          <w:rStyle w:val="Znakapoznpodarou"/>
        </w:rPr>
        <w:footnoteReference w:id="4"/>
      </w:r>
      <w:r>
        <w:t>, M2</w:t>
      </w:r>
      <w:r w:rsidR="006229D2">
        <w:rPr>
          <w:rStyle w:val="Znakapoznpodarou"/>
        </w:rPr>
        <w:footnoteReference w:id="5"/>
      </w:r>
      <w:r>
        <w:t>, N1</w:t>
      </w:r>
      <w:r w:rsidR="006229D2">
        <w:rPr>
          <w:rStyle w:val="Znakapoznpodarou"/>
        </w:rPr>
        <w:footnoteReference w:id="6"/>
      </w:r>
      <w:r>
        <w:t>, N2</w:t>
      </w:r>
      <w:r w:rsidR="006229D2">
        <w:rPr>
          <w:rStyle w:val="Znakapoznpodarou"/>
        </w:rPr>
        <w:footnoteReference w:id="7"/>
      </w:r>
      <w:r>
        <w:t>, N3</w:t>
      </w:r>
      <w:r w:rsidR="00D2536C">
        <w:rPr>
          <w:rStyle w:val="Znakapoznpodarou"/>
        </w:rPr>
        <w:footnoteReference w:id="8"/>
      </w:r>
      <w:r w:rsidRPr="0091442D">
        <w:t xml:space="preserve"> </w:t>
      </w:r>
    </w:p>
    <w:p w14:paraId="725B7843" w14:textId="72EFDDC9" w:rsidR="0091442D" w:rsidRDefault="0091442D" w:rsidP="0091442D">
      <w:pPr>
        <w:jc w:val="both"/>
      </w:pPr>
      <w:r>
        <w:t>- silničního vozidla třídy I</w:t>
      </w:r>
      <w:r w:rsidR="00D2536C">
        <w:rPr>
          <w:rStyle w:val="Znakapoznpodarou"/>
        </w:rPr>
        <w:footnoteReference w:id="9"/>
      </w:r>
      <w:r>
        <w:t xml:space="preserve"> kategorie M3 anebo třídy A</w:t>
      </w:r>
      <w:r w:rsidR="00D2536C">
        <w:rPr>
          <w:rStyle w:val="Znakapoznpodarou"/>
        </w:rPr>
        <w:footnoteReference w:id="10"/>
      </w:r>
      <w:r>
        <w:t xml:space="preserve"> kategorie M3 </w:t>
      </w:r>
    </w:p>
    <w:p w14:paraId="3A2189AB" w14:textId="47367478" w:rsidR="00415E44" w:rsidRDefault="0091442D" w:rsidP="0091442D">
      <w:pPr>
        <w:jc w:val="both"/>
      </w:pPr>
      <w:r>
        <w:t xml:space="preserve">- vozidla určeného </w:t>
      </w:r>
      <w:r w:rsidR="000C1365">
        <w:t>k provozu na dráze trolejbusové</w:t>
      </w:r>
      <w:r w:rsidR="006212F7">
        <w:rPr>
          <w:rStyle w:val="Znakapoznpodarou"/>
        </w:rPr>
        <w:footnoteReference w:id="11"/>
      </w:r>
      <w:r w:rsidR="000424D4">
        <w:t xml:space="preserve"> (trolejbusu)</w:t>
      </w:r>
    </w:p>
    <w:p w14:paraId="7897942C" w14:textId="185F8756" w:rsidR="008B53E0" w:rsidRDefault="008E2E3D" w:rsidP="009009C3">
      <w:pPr>
        <w:pStyle w:val="Nadpis3"/>
      </w:pPr>
      <w:bookmarkStart w:id="10" w:name="_Toc157593043"/>
      <w:r>
        <w:t>2</w:t>
      </w:r>
      <w:r w:rsidR="00DB1B32">
        <w:t>.2b</w:t>
      </w:r>
      <w:r w:rsidR="009009C3">
        <w:t>)</w:t>
      </w:r>
      <w:r>
        <w:t xml:space="preserve"> </w:t>
      </w:r>
      <w:r w:rsidR="008B53E0">
        <w:t xml:space="preserve">Výjimky z působnosti </w:t>
      </w:r>
      <w:r w:rsidR="006229D2">
        <w:t xml:space="preserve">ZPNV </w:t>
      </w:r>
      <w:r w:rsidR="008B53E0">
        <w:t>ve vztahu k</w:t>
      </w:r>
      <w:r w:rsidR="00C64EDF">
        <w:t>e zvláštním</w:t>
      </w:r>
      <w:r w:rsidR="008B53E0">
        <w:t> druhům silničních vozidel</w:t>
      </w:r>
      <w:bookmarkEnd w:id="10"/>
    </w:p>
    <w:p w14:paraId="33AB2B2E" w14:textId="00C25AA0" w:rsidR="0091442D" w:rsidRPr="0066086C" w:rsidRDefault="001F60B4" w:rsidP="0091442D">
      <w:pPr>
        <w:jc w:val="both"/>
        <w:rPr>
          <w:b/>
        </w:rPr>
      </w:pPr>
      <w:r>
        <w:rPr>
          <w:b/>
        </w:rPr>
        <w:t>Podle</w:t>
      </w:r>
      <w:r w:rsidR="008B53E0">
        <w:rPr>
          <w:b/>
        </w:rPr>
        <w:t xml:space="preserve"> § 2 odst. 3 ZPNV</w:t>
      </w:r>
      <w:r w:rsidR="0091442D" w:rsidRPr="0066086C">
        <w:rPr>
          <w:b/>
        </w:rPr>
        <w:t xml:space="preserve"> je rovněž stanoven výčet vozidel, na která se </w:t>
      </w:r>
      <w:r w:rsidR="00D948ED">
        <w:rPr>
          <w:b/>
        </w:rPr>
        <w:t>ZPNV</w:t>
      </w:r>
      <w:r w:rsidR="009D2832">
        <w:rPr>
          <w:b/>
        </w:rPr>
        <w:t xml:space="preserve"> </w:t>
      </w:r>
      <w:r w:rsidR="009F3E38">
        <w:rPr>
          <w:b/>
        </w:rPr>
        <w:t>nevztahuj</w:t>
      </w:r>
      <w:r w:rsidR="009D2832">
        <w:rPr>
          <w:b/>
        </w:rPr>
        <w:t>e</w:t>
      </w:r>
      <w:r w:rsidR="0091442D" w:rsidRPr="0066086C">
        <w:rPr>
          <w:b/>
        </w:rPr>
        <w:t>.</w:t>
      </w:r>
      <w:r w:rsidR="00084C90">
        <w:rPr>
          <w:b/>
        </w:rPr>
        <w:t xml:space="preserve"> Vozidla spadající do výjimky z</w:t>
      </w:r>
      <w:r w:rsidR="008E2E3D">
        <w:rPr>
          <w:b/>
        </w:rPr>
        <w:t> </w:t>
      </w:r>
      <w:r w:rsidR="00084C90" w:rsidRPr="001255D9">
        <w:rPr>
          <w:b/>
        </w:rPr>
        <w:t xml:space="preserve">působnosti </w:t>
      </w:r>
      <w:r w:rsidR="00D948ED" w:rsidRPr="001255D9">
        <w:rPr>
          <w:b/>
        </w:rPr>
        <w:t>ZPNV</w:t>
      </w:r>
      <w:r w:rsidR="009D2832" w:rsidRPr="001255D9">
        <w:rPr>
          <w:b/>
        </w:rPr>
        <w:t xml:space="preserve"> </w:t>
      </w:r>
      <w:r w:rsidR="00084C90" w:rsidRPr="001255D9">
        <w:rPr>
          <w:b/>
        </w:rPr>
        <w:t>přesně odpovídají výjimkám z působnosti směrnice o čistých vozidlech</w:t>
      </w:r>
      <w:r w:rsidR="00591EE7" w:rsidRPr="001255D9">
        <w:rPr>
          <w:b/>
        </w:rPr>
        <w:t xml:space="preserve">. Bližší </w:t>
      </w:r>
      <w:r w:rsidRPr="001255D9">
        <w:rPr>
          <w:b/>
        </w:rPr>
        <w:t>informace</w:t>
      </w:r>
      <w:r w:rsidR="00591EE7" w:rsidRPr="001255D9">
        <w:rPr>
          <w:b/>
        </w:rPr>
        <w:t xml:space="preserve"> lze nalézt</w:t>
      </w:r>
      <w:r w:rsidR="00370205" w:rsidRPr="001255D9">
        <w:rPr>
          <w:b/>
        </w:rPr>
        <w:t xml:space="preserve"> v důvodové zprávě k</w:t>
      </w:r>
      <w:r w:rsidR="00370205" w:rsidRPr="00071576">
        <w:rPr>
          <w:b/>
          <w:i/>
        </w:rPr>
        <w:t> ZPNV</w:t>
      </w:r>
      <w:r w:rsidR="00591EE7">
        <w:rPr>
          <w:b/>
        </w:rPr>
        <w:t>. Pro účely metodiky uvádíme vysvětlení jen k některým vybraným výjimkám.</w:t>
      </w:r>
    </w:p>
    <w:p w14:paraId="3C2D1552" w14:textId="195B87B4" w:rsidR="00030F11" w:rsidRPr="003447B5" w:rsidRDefault="00003059" w:rsidP="00A502E4">
      <w:pPr>
        <w:jc w:val="both"/>
      </w:pPr>
      <w:r>
        <w:t>Ve vztahu k</w:t>
      </w:r>
      <w:r w:rsidR="00084C90">
        <w:t> </w:t>
      </w:r>
      <w:r w:rsidR="00B65B86">
        <w:t>§</w:t>
      </w:r>
      <w:r w:rsidR="00084C90">
        <w:t xml:space="preserve"> 2 odst. 3 bodu 4</w:t>
      </w:r>
      <w:r w:rsidR="00030F11">
        <w:t xml:space="preserve"> ZPNV</w:t>
      </w:r>
      <w:r w:rsidR="00084C90">
        <w:t xml:space="preserve"> - </w:t>
      </w:r>
      <w:r w:rsidR="00C6680F">
        <w:t xml:space="preserve">výjimce pro vozidla </w:t>
      </w:r>
      <w:r>
        <w:t xml:space="preserve">s vlastním pohonem zvlášť zkonstruovaným a vyrobeným k provádění určité práce, jež nejsou vzhledem ke svým konstrukčním vlastnostem vhodná k přepravě osob ani zboží a která nejsou strojním zařízením upevněným na podvozku motorového vozidla - jde o vozidla, která se pohybují po komunikacích, nepřeváží, resp. nejsou uzpůsobena k přepravě osob či nákladů a nejedná se o nic namontovaného na silničním vozidle (tj. není to např. </w:t>
      </w:r>
      <w:proofErr w:type="spellStart"/>
      <w:r>
        <w:t>stěpkovač</w:t>
      </w:r>
      <w:proofErr w:type="spellEnd"/>
      <w:r>
        <w:t xml:space="preserve"> namontovaný na podvozku vozidla, ale je to např. </w:t>
      </w:r>
      <w:proofErr w:type="spellStart"/>
      <w:r>
        <w:t>traktorbagr</w:t>
      </w:r>
      <w:proofErr w:type="spellEnd"/>
      <w:r>
        <w:t>).</w:t>
      </w:r>
      <w:r w:rsidR="00F24A0A">
        <w:t xml:space="preserve"> </w:t>
      </w:r>
      <w:r w:rsidR="00035AB4">
        <w:t xml:space="preserve">Dle </w:t>
      </w:r>
      <w:hyperlink r:id="rId8" w:history="1">
        <w:r w:rsidR="00035AB4" w:rsidRPr="0089281D">
          <w:rPr>
            <w:rStyle w:val="Hypertextovodkaz"/>
          </w:rPr>
          <w:t xml:space="preserve">Sdělení Komise o použití článků 2, 3, 4 a 5 směrnice Evropského parlamentu a Rady 2009/33/ES o podpoře čistých silničních vozidel na podporu </w:t>
        </w:r>
        <w:proofErr w:type="spellStart"/>
        <w:r w:rsidR="00035AB4" w:rsidRPr="0089281D">
          <w:rPr>
            <w:rStyle w:val="Hypertextovodkaz"/>
          </w:rPr>
          <w:t>nízkoemisní</w:t>
        </w:r>
        <w:proofErr w:type="spellEnd"/>
        <w:r w:rsidR="00035AB4" w:rsidRPr="0089281D">
          <w:rPr>
            <w:rStyle w:val="Hypertextovodkaz"/>
          </w:rPr>
          <w:t xml:space="preserve"> mobility</w:t>
        </w:r>
        <w:r w:rsidR="00761C92" w:rsidRPr="0089281D">
          <w:rPr>
            <w:rStyle w:val="Hypertextovodkaz"/>
          </w:rPr>
          <w:t xml:space="preserve"> </w:t>
        </w:r>
        <w:r w:rsidR="00761C92" w:rsidRPr="0089281D">
          <w:rPr>
            <w:rStyle w:val="Hypertextovodkaz"/>
            <w:shd w:val="clear" w:color="auto" w:fill="FFFFFF"/>
          </w:rPr>
          <w:t>(2020/C 352/01)</w:t>
        </w:r>
      </w:hyperlink>
      <w:r w:rsidR="00761C92">
        <w:rPr>
          <w:color w:val="000000"/>
          <w:shd w:val="clear" w:color="auto" w:fill="FFFFFF"/>
        </w:rPr>
        <w:t xml:space="preserve"> (dále jen „</w:t>
      </w:r>
      <w:r w:rsidR="00761C92" w:rsidRPr="002772C4">
        <w:rPr>
          <w:b/>
          <w:color w:val="000000"/>
          <w:shd w:val="clear" w:color="auto" w:fill="FFFFFF"/>
        </w:rPr>
        <w:t>Sdělení Komise</w:t>
      </w:r>
      <w:r w:rsidR="00761C92">
        <w:rPr>
          <w:color w:val="000000"/>
          <w:shd w:val="clear" w:color="auto" w:fill="FFFFFF"/>
        </w:rPr>
        <w:t>“)</w:t>
      </w:r>
      <w:r w:rsidR="00F24A0A">
        <w:rPr>
          <w:color w:val="000000"/>
          <w:shd w:val="clear" w:color="auto" w:fill="FFFFFF"/>
        </w:rPr>
        <w:t xml:space="preserve"> </w:t>
      </w:r>
      <w:r w:rsidR="00F24A0A" w:rsidRPr="00A84C2A">
        <w:rPr>
          <w:i/>
          <w:color w:val="000000"/>
          <w:shd w:val="clear" w:color="auto" w:fill="FFFFFF"/>
        </w:rPr>
        <w:t xml:space="preserve">do této </w:t>
      </w:r>
      <w:r w:rsidR="00F24A0A" w:rsidRPr="00A84C2A">
        <w:rPr>
          <w:i/>
          <w:color w:val="000000"/>
          <w:shd w:val="clear" w:color="auto" w:fill="FFFFFF"/>
        </w:rPr>
        <w:lastRenderedPageBreak/>
        <w:t>kategorie nespadají</w:t>
      </w:r>
      <w:r w:rsidR="00035AB4" w:rsidRPr="00A84C2A">
        <w:rPr>
          <w:i/>
          <w:color w:val="000000"/>
          <w:shd w:val="clear" w:color="auto" w:fill="FFFFFF"/>
        </w:rPr>
        <w:t xml:space="preserve"> vozy na sběr odpadu</w:t>
      </w:r>
      <w:r w:rsidR="00F24A0A" w:rsidRPr="00A84C2A">
        <w:rPr>
          <w:i/>
          <w:color w:val="000000"/>
          <w:shd w:val="clear" w:color="auto" w:fill="FFFFFF"/>
        </w:rPr>
        <w:t>; ty jsou obvykle typově schválené jako vozidla kategorie N</w:t>
      </w:r>
      <w:r w:rsidR="00F24A0A" w:rsidRPr="00A84C2A">
        <w:rPr>
          <w:rStyle w:val="oj-sub"/>
          <w:i/>
          <w:color w:val="000000"/>
          <w:sz w:val="17"/>
          <w:szCs w:val="17"/>
          <w:shd w:val="clear" w:color="auto" w:fill="FFFFFF"/>
          <w:vertAlign w:val="subscript"/>
        </w:rPr>
        <w:t>2</w:t>
      </w:r>
      <w:r w:rsidR="00F24A0A" w:rsidRPr="00A84C2A">
        <w:rPr>
          <w:i/>
          <w:color w:val="000000"/>
          <w:shd w:val="clear" w:color="auto" w:fill="FFFFFF"/>
        </w:rPr>
        <w:t> nebo N</w:t>
      </w:r>
      <w:r w:rsidR="00F24A0A" w:rsidRPr="00A84C2A">
        <w:rPr>
          <w:rStyle w:val="oj-sub"/>
          <w:i/>
          <w:color w:val="000000"/>
          <w:sz w:val="17"/>
          <w:szCs w:val="17"/>
          <w:shd w:val="clear" w:color="auto" w:fill="FFFFFF"/>
          <w:vertAlign w:val="subscript"/>
        </w:rPr>
        <w:t>3</w:t>
      </w:r>
      <w:r w:rsidR="00F24A0A" w:rsidRPr="00A84C2A">
        <w:rPr>
          <w:i/>
          <w:color w:val="000000"/>
          <w:shd w:val="clear" w:color="auto" w:fill="FFFFFF"/>
        </w:rPr>
        <w:t> v souladu s nařízením (EU) 2018/858. Jako takové nejsou vyňaty z oblasti působnosti směrnice o čistých vozidlech.</w:t>
      </w:r>
      <w:r w:rsidR="00030F11">
        <w:rPr>
          <w:color w:val="000000"/>
          <w:shd w:val="clear" w:color="auto" w:fill="FFFFFF"/>
        </w:rPr>
        <w:t xml:space="preserve"> </w:t>
      </w:r>
      <w:r w:rsidR="00030F11" w:rsidRPr="003447B5">
        <w:t>Ze sdělení Komise vyplývá, že záleží na typovém schválení vozidla. K výjimce z působnosti ZPNV podle § 2 odst. 3 písm. a) bod. 4. ZPNV lze ještě blíže uvést, že pro jednoznačné určení toho, zda vozidlo spadá do uvedené výjimky, by mělo být rozhodující, jak má vozidlo schválenou technickou způsobilost (neboli s jakým popisem druhu vozidla je zapsáno do Registru silničních vozidel) – tedy, zda v popisu druhu vozidla je uvedeno, že se jedná o vozidlo zvláštního určení; přičemž samotná kategorie vozidla (včetně případné podkategorie) není pro toto zařazení rozhodující.</w:t>
      </w:r>
    </w:p>
    <w:p w14:paraId="48A4572E" w14:textId="12933E76" w:rsidR="00003059" w:rsidRPr="00030F11" w:rsidRDefault="00003059" w:rsidP="00003059">
      <w:pPr>
        <w:jc w:val="both"/>
      </w:pPr>
    </w:p>
    <w:p w14:paraId="63B166E3" w14:textId="77777777" w:rsidR="00EA1BDF" w:rsidRDefault="00003059" w:rsidP="002B46ED">
      <w:pPr>
        <w:jc w:val="both"/>
      </w:pPr>
      <w:r>
        <w:t>Ohledně vyjmutí autojeřábů</w:t>
      </w:r>
      <w:r w:rsidR="00084C90">
        <w:t xml:space="preserve"> (</w:t>
      </w:r>
      <w:r w:rsidR="00B65B86">
        <w:t>§</w:t>
      </w:r>
      <w:r w:rsidR="00084C90">
        <w:t xml:space="preserve"> 2 odst. 3 bod 9)</w:t>
      </w:r>
      <w:r>
        <w:t xml:space="preserve"> lze uvést, že nařízení (EU) 2018/858 definuje autojeřáb jako vozidlo kategorie N3, které není určeno pro převoz nákladů a které je vybaveno jeřábem s klopným momentem rovnajícím se 400 </w:t>
      </w:r>
      <w:proofErr w:type="spellStart"/>
      <w:r>
        <w:t>kNm</w:t>
      </w:r>
      <w:proofErr w:type="spellEnd"/>
      <w:r>
        <w:t xml:space="preserve"> nebo vyšším. </w:t>
      </w:r>
    </w:p>
    <w:p w14:paraId="69BFD643" w14:textId="18C700E7" w:rsidR="005C18B6" w:rsidRPr="005C18B6" w:rsidRDefault="005C18B6" w:rsidP="005C18B6">
      <w:pPr>
        <w:rPr>
          <w:b/>
        </w:rPr>
      </w:pPr>
    </w:p>
    <w:p w14:paraId="7F8BB2E2" w14:textId="290E3427" w:rsidR="00683777" w:rsidRDefault="0089281D" w:rsidP="0032217D">
      <w:pPr>
        <w:pStyle w:val="Nadpis1"/>
      </w:pPr>
      <w:bookmarkStart w:id="11" w:name="_Toc157593044"/>
      <w:r>
        <w:t xml:space="preserve">3. </w:t>
      </w:r>
      <w:r w:rsidR="00A841BD">
        <w:t>M</w:t>
      </w:r>
      <w:r w:rsidR="00683777" w:rsidRPr="0089281D">
        <w:t xml:space="preserve">inimální podíl </w:t>
      </w:r>
      <w:proofErr w:type="spellStart"/>
      <w:r w:rsidR="00683777" w:rsidRPr="0089281D">
        <w:t>nízkoemisních</w:t>
      </w:r>
      <w:proofErr w:type="spellEnd"/>
      <w:r w:rsidR="00683777" w:rsidRPr="0089281D">
        <w:t xml:space="preserve"> vozidel</w:t>
      </w:r>
      <w:bookmarkEnd w:id="11"/>
    </w:p>
    <w:p w14:paraId="20F388BF" w14:textId="77777777" w:rsidR="00365D85" w:rsidRPr="00365D85" w:rsidRDefault="00365D85" w:rsidP="00365D85"/>
    <w:p w14:paraId="26A1452A" w14:textId="1754E2A8" w:rsidR="007218E2" w:rsidRDefault="00C64EDF" w:rsidP="00C64EDF">
      <w:pPr>
        <w:pStyle w:val="Nadpis2"/>
      </w:pPr>
      <w:bookmarkStart w:id="12" w:name="_Toc157593045"/>
      <w:r>
        <w:t>3.</w:t>
      </w:r>
      <w:r w:rsidR="007218E2">
        <w:t>1</w:t>
      </w:r>
      <w:r>
        <w:t>.</w:t>
      </w:r>
      <w:r w:rsidR="007218E2">
        <w:t xml:space="preserve"> Principy výpočtu minimálního podílu </w:t>
      </w:r>
      <w:proofErr w:type="spellStart"/>
      <w:r w:rsidR="007218E2">
        <w:t>nízkoemisních</w:t>
      </w:r>
      <w:proofErr w:type="spellEnd"/>
      <w:r w:rsidR="007218E2">
        <w:t xml:space="preserve"> vozidel</w:t>
      </w:r>
      <w:bookmarkEnd w:id="12"/>
    </w:p>
    <w:p w14:paraId="2D5A938B" w14:textId="1C958C43" w:rsidR="00922829" w:rsidRPr="00003059" w:rsidRDefault="00AA3AAD" w:rsidP="002B46ED">
      <w:pPr>
        <w:jc w:val="both"/>
        <w:rPr>
          <w:b/>
        </w:rPr>
      </w:pPr>
      <w:r w:rsidRPr="00003059">
        <w:rPr>
          <w:b/>
        </w:rPr>
        <w:t xml:space="preserve">Ve vztahu k výše </w:t>
      </w:r>
      <w:r w:rsidR="0001003F" w:rsidRPr="00003059">
        <w:rPr>
          <w:b/>
        </w:rPr>
        <w:t>vymezeným</w:t>
      </w:r>
      <w:r w:rsidRPr="00003059">
        <w:rPr>
          <w:b/>
        </w:rPr>
        <w:t xml:space="preserve"> smlouvám</w:t>
      </w:r>
      <w:r w:rsidR="0001003F" w:rsidRPr="00003059">
        <w:rPr>
          <w:b/>
        </w:rPr>
        <w:t xml:space="preserve"> </w:t>
      </w:r>
      <w:r w:rsidR="00C64EDF">
        <w:rPr>
          <w:b/>
        </w:rPr>
        <w:t>a</w:t>
      </w:r>
      <w:r w:rsidR="00591EE7">
        <w:rPr>
          <w:b/>
        </w:rPr>
        <w:t xml:space="preserve"> silničním vozidlům, kterých se tyto smlouvy týkají, </w:t>
      </w:r>
      <w:r w:rsidRPr="00003059">
        <w:rPr>
          <w:b/>
        </w:rPr>
        <w:t>jsou</w:t>
      </w:r>
      <w:r w:rsidR="007B2BB0">
        <w:rPr>
          <w:b/>
        </w:rPr>
        <w:t xml:space="preserve"> </w:t>
      </w:r>
      <w:r w:rsidR="00C64EDF">
        <w:rPr>
          <w:b/>
        </w:rPr>
        <w:t>zadavatelé a</w:t>
      </w:r>
      <w:r w:rsidR="00922829" w:rsidRPr="00003059">
        <w:rPr>
          <w:b/>
        </w:rPr>
        <w:t xml:space="preserve"> objednatelé povinni dodržet minimální podíly </w:t>
      </w:r>
      <w:proofErr w:type="spellStart"/>
      <w:r w:rsidR="00922829" w:rsidRPr="00003059">
        <w:rPr>
          <w:b/>
        </w:rPr>
        <w:t>nízkoemisních</w:t>
      </w:r>
      <w:proofErr w:type="spellEnd"/>
      <w:r w:rsidR="00922829" w:rsidRPr="00003059">
        <w:rPr>
          <w:b/>
        </w:rPr>
        <w:t xml:space="preserve"> vozidel. </w:t>
      </w:r>
    </w:p>
    <w:p w14:paraId="06DB16B0" w14:textId="1A1AE62F" w:rsidR="00922829" w:rsidRDefault="00805A6F" w:rsidP="009A5502">
      <w:pPr>
        <w:jc w:val="both"/>
      </w:pPr>
      <w:r>
        <w:t>M</w:t>
      </w:r>
      <w:r w:rsidR="00C10CB8">
        <w:t xml:space="preserve">inimální podíly </w:t>
      </w:r>
      <w:proofErr w:type="spellStart"/>
      <w:r w:rsidR="00C10CB8">
        <w:t>nízkoemisních</w:t>
      </w:r>
      <w:proofErr w:type="spellEnd"/>
      <w:r w:rsidR="00C10CB8">
        <w:t xml:space="preserve"> vozidel</w:t>
      </w:r>
      <w:r>
        <w:t xml:space="preserve"> stanovené v </w:t>
      </w:r>
      <w:r w:rsidR="00B65B86">
        <w:t>§</w:t>
      </w:r>
      <w:r>
        <w:t xml:space="preserve"> 4 odst. 1 </w:t>
      </w:r>
      <w:r w:rsidR="00D948ED">
        <w:t>ZPNV</w:t>
      </w:r>
      <w:r w:rsidR="0027289A" w:rsidRPr="0027289A">
        <w:t xml:space="preserve"> se vypočítají dle </w:t>
      </w:r>
      <w:r w:rsidR="006F2F3F">
        <w:t xml:space="preserve">3 </w:t>
      </w:r>
      <w:r w:rsidR="0027289A">
        <w:t>stanovených</w:t>
      </w:r>
      <w:r w:rsidR="0027289A" w:rsidRPr="0027289A">
        <w:t xml:space="preserve"> skupin kategorií vozidel a</w:t>
      </w:r>
      <w:r w:rsidR="00D05527">
        <w:t xml:space="preserve"> </w:t>
      </w:r>
      <w:r w:rsidR="00922829">
        <w:t>lze</w:t>
      </w:r>
      <w:r w:rsidR="0027289A">
        <w:t xml:space="preserve"> je</w:t>
      </w:r>
      <w:r w:rsidR="00922829">
        <w:t xml:space="preserve"> stručně shrnout do následující tabulky:</w:t>
      </w:r>
    </w:p>
    <w:tbl>
      <w:tblPr>
        <w:tblStyle w:val="Mkatabulky"/>
        <w:tblW w:w="0" w:type="auto"/>
        <w:tblLook w:val="04A0" w:firstRow="1" w:lastRow="0" w:firstColumn="1" w:lastColumn="0" w:noHBand="0" w:noVBand="1"/>
      </w:tblPr>
      <w:tblGrid>
        <w:gridCol w:w="3397"/>
        <w:gridCol w:w="2835"/>
        <w:gridCol w:w="2830"/>
      </w:tblGrid>
      <w:tr w:rsidR="00D9732B" w:rsidRPr="00773578" w14:paraId="601AA3A8" w14:textId="77777777" w:rsidTr="00071576">
        <w:tc>
          <w:tcPr>
            <w:tcW w:w="3397" w:type="dxa"/>
          </w:tcPr>
          <w:p w14:paraId="379BA873" w14:textId="77777777" w:rsidR="00D9732B" w:rsidRPr="00DD72DE"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DD72DE">
              <w:rPr>
                <w:rFonts w:ascii="Arial" w:eastAsia="Times New Roman" w:hAnsi="Arial" w:cs="Arial"/>
                <w:b/>
                <w:color w:val="1C222F"/>
                <w:lang w:eastAsia="cs-CZ"/>
              </w:rPr>
              <w:t>Kategorie silničního vozidla</w:t>
            </w:r>
          </w:p>
        </w:tc>
        <w:tc>
          <w:tcPr>
            <w:tcW w:w="2835" w:type="dxa"/>
          </w:tcPr>
          <w:p w14:paraId="699A16F2" w14:textId="77777777" w:rsidR="00D9732B" w:rsidRPr="00DD72DE"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DD72DE">
              <w:rPr>
                <w:rFonts w:ascii="Arial" w:eastAsia="Times New Roman" w:hAnsi="Arial" w:cs="Arial"/>
                <w:b/>
                <w:color w:val="1C222F"/>
                <w:lang w:eastAsia="cs-CZ"/>
              </w:rPr>
              <w:t>Od účinnosti zákona do 31. 12. 2025</w:t>
            </w:r>
          </w:p>
        </w:tc>
        <w:tc>
          <w:tcPr>
            <w:tcW w:w="2830" w:type="dxa"/>
          </w:tcPr>
          <w:p w14:paraId="576F3394" w14:textId="77777777" w:rsidR="00D9732B" w:rsidRPr="00DD72DE"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DD72DE">
              <w:rPr>
                <w:rFonts w:ascii="Arial" w:eastAsia="Times New Roman" w:hAnsi="Arial" w:cs="Arial"/>
                <w:b/>
                <w:color w:val="1C222F"/>
                <w:lang w:eastAsia="cs-CZ"/>
              </w:rPr>
              <w:t>Od 1. 1. 2026 do 31. 12. 2030</w:t>
            </w:r>
          </w:p>
        </w:tc>
      </w:tr>
      <w:tr w:rsidR="00D9732B" w:rsidRPr="00773578" w14:paraId="34D53EAC" w14:textId="77777777" w:rsidTr="00071576">
        <w:tc>
          <w:tcPr>
            <w:tcW w:w="3397" w:type="dxa"/>
          </w:tcPr>
          <w:p w14:paraId="79055DA3" w14:textId="77777777" w:rsidR="00D9732B" w:rsidRPr="007256AD"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7256AD">
              <w:rPr>
                <w:rFonts w:ascii="Arial" w:eastAsia="Times New Roman" w:hAnsi="Arial" w:cs="Arial"/>
                <w:b/>
                <w:color w:val="1C222F"/>
                <w:lang w:eastAsia="cs-CZ"/>
              </w:rPr>
              <w:t>M1, M2 a N1</w:t>
            </w:r>
          </w:p>
        </w:tc>
        <w:tc>
          <w:tcPr>
            <w:tcW w:w="2835" w:type="dxa"/>
          </w:tcPr>
          <w:p w14:paraId="5DE62ED9"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29,7 %</w:t>
            </w:r>
          </w:p>
        </w:tc>
        <w:tc>
          <w:tcPr>
            <w:tcW w:w="2830" w:type="dxa"/>
          </w:tcPr>
          <w:p w14:paraId="62A025C1"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29,7 %</w:t>
            </w:r>
          </w:p>
        </w:tc>
      </w:tr>
      <w:tr w:rsidR="00D9732B" w:rsidRPr="00773578" w14:paraId="6EB8FEE8" w14:textId="77777777" w:rsidTr="00071576">
        <w:tc>
          <w:tcPr>
            <w:tcW w:w="3397" w:type="dxa"/>
          </w:tcPr>
          <w:p w14:paraId="73D212FD" w14:textId="77777777" w:rsidR="00D9732B" w:rsidRPr="007256AD"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7256AD">
              <w:rPr>
                <w:rFonts w:ascii="Arial" w:eastAsia="Times New Roman" w:hAnsi="Arial" w:cs="Arial"/>
                <w:b/>
                <w:color w:val="1C222F"/>
                <w:lang w:eastAsia="cs-CZ"/>
              </w:rPr>
              <w:t>N2 a N3</w:t>
            </w:r>
          </w:p>
        </w:tc>
        <w:tc>
          <w:tcPr>
            <w:tcW w:w="2835" w:type="dxa"/>
          </w:tcPr>
          <w:p w14:paraId="5D2F7130"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9 %</w:t>
            </w:r>
          </w:p>
        </w:tc>
        <w:tc>
          <w:tcPr>
            <w:tcW w:w="2830" w:type="dxa"/>
          </w:tcPr>
          <w:p w14:paraId="00163341"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11 %</w:t>
            </w:r>
          </w:p>
        </w:tc>
      </w:tr>
      <w:tr w:rsidR="00D9732B" w:rsidRPr="00773578" w14:paraId="570A5B0B" w14:textId="77777777" w:rsidTr="00071576">
        <w:tc>
          <w:tcPr>
            <w:tcW w:w="3397" w:type="dxa"/>
          </w:tcPr>
          <w:p w14:paraId="4A17F042" w14:textId="745C179B" w:rsidR="00D9732B" w:rsidRPr="007256AD" w:rsidRDefault="00D9732B" w:rsidP="00457606">
            <w:pPr>
              <w:spacing w:before="100" w:beforeAutospacing="1" w:after="100" w:afterAutospacing="1" w:line="360" w:lineRule="atLeast"/>
              <w:jc w:val="both"/>
              <w:rPr>
                <w:rFonts w:ascii="Arial" w:eastAsia="Times New Roman" w:hAnsi="Arial" w:cs="Arial"/>
                <w:b/>
                <w:color w:val="1C222F"/>
                <w:lang w:eastAsia="cs-CZ"/>
              </w:rPr>
            </w:pPr>
            <w:r w:rsidRPr="007256AD">
              <w:rPr>
                <w:rFonts w:ascii="Arial" w:eastAsia="Times New Roman" w:hAnsi="Arial" w:cs="Arial"/>
                <w:b/>
                <w:color w:val="1C222F"/>
                <w:lang w:eastAsia="cs-CZ"/>
              </w:rPr>
              <w:t>M3 (jen třídy I a A)</w:t>
            </w:r>
            <w:r>
              <w:rPr>
                <w:rFonts w:ascii="Arial" w:eastAsia="Times New Roman" w:hAnsi="Arial" w:cs="Arial"/>
                <w:b/>
                <w:color w:val="1C222F"/>
                <w:lang w:eastAsia="cs-CZ"/>
              </w:rPr>
              <w:t xml:space="preserve"> a trolejbusy</w:t>
            </w:r>
          </w:p>
        </w:tc>
        <w:tc>
          <w:tcPr>
            <w:tcW w:w="2835" w:type="dxa"/>
          </w:tcPr>
          <w:p w14:paraId="136903B3"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41 %</w:t>
            </w:r>
          </w:p>
        </w:tc>
        <w:tc>
          <w:tcPr>
            <w:tcW w:w="2830" w:type="dxa"/>
          </w:tcPr>
          <w:p w14:paraId="3EBF96D6" w14:textId="77777777" w:rsidR="00D9732B" w:rsidRPr="00773578" w:rsidRDefault="00D9732B" w:rsidP="00457606">
            <w:pPr>
              <w:spacing w:before="100" w:beforeAutospacing="1" w:after="100" w:afterAutospacing="1" w:line="360" w:lineRule="atLeast"/>
              <w:jc w:val="both"/>
              <w:rPr>
                <w:rFonts w:ascii="Arial" w:eastAsia="Times New Roman" w:hAnsi="Arial" w:cs="Arial"/>
                <w:color w:val="1C222F"/>
                <w:lang w:eastAsia="cs-CZ"/>
              </w:rPr>
            </w:pPr>
            <w:r w:rsidRPr="00773578">
              <w:rPr>
                <w:rFonts w:ascii="Arial" w:eastAsia="Times New Roman" w:hAnsi="Arial" w:cs="Arial"/>
                <w:color w:val="1C222F"/>
                <w:lang w:eastAsia="cs-CZ"/>
              </w:rPr>
              <w:t>60 %</w:t>
            </w:r>
          </w:p>
        </w:tc>
      </w:tr>
    </w:tbl>
    <w:p w14:paraId="1E021397" w14:textId="1574156D" w:rsidR="00AA3AAD" w:rsidRDefault="00AA3AAD" w:rsidP="009A5502">
      <w:pPr>
        <w:jc w:val="both"/>
        <w:rPr>
          <w:rFonts w:ascii="Arial" w:eastAsia="Times New Roman" w:hAnsi="Arial" w:cs="Arial"/>
          <w:color w:val="1C222F"/>
          <w:sz w:val="20"/>
          <w:szCs w:val="20"/>
          <w:lang w:eastAsia="cs-CZ"/>
        </w:rPr>
      </w:pPr>
    </w:p>
    <w:p w14:paraId="7A5F79ED" w14:textId="2EA89095" w:rsidR="00C10CB8" w:rsidRDefault="0027289A" w:rsidP="00527853">
      <w:pPr>
        <w:jc w:val="both"/>
      </w:pPr>
      <w:r w:rsidRPr="0027289A">
        <w:t xml:space="preserve">Pro naplnění podílů </w:t>
      </w:r>
      <w:proofErr w:type="spellStart"/>
      <w:r w:rsidRPr="0027289A">
        <w:t>nízkoemisních</w:t>
      </w:r>
      <w:proofErr w:type="spellEnd"/>
      <w:r w:rsidRPr="0027289A">
        <w:t xml:space="preserve"> autobusů (kategorie M3 třídy I a M3 třídy A) a t</w:t>
      </w:r>
      <w:r>
        <w:t xml:space="preserve">rolejbusů je v § 4 odst. 4 ZPNV </w:t>
      </w:r>
      <w:r w:rsidRPr="0027289A">
        <w:t xml:space="preserve">požadavek </w:t>
      </w:r>
      <w:r w:rsidR="00112087">
        <w:t>zpřísněn</w:t>
      </w:r>
      <w:r w:rsidR="002D1386">
        <w:t xml:space="preserve"> následovně:</w:t>
      </w:r>
      <w:r w:rsidR="0001003F">
        <w:t xml:space="preserve"> </w:t>
      </w:r>
      <w:r w:rsidR="0001003F" w:rsidRPr="005225AC">
        <w:rPr>
          <w:b/>
        </w:rPr>
        <w:t>po</w:t>
      </w:r>
      <w:r w:rsidR="00C10CB8" w:rsidRPr="005225AC">
        <w:rPr>
          <w:b/>
        </w:rPr>
        <w:t>loviny z minimálních podílů</w:t>
      </w:r>
      <w:r w:rsidR="00C10CB8">
        <w:t xml:space="preserve"> uvedených</w:t>
      </w:r>
      <w:r w:rsidR="00C10CB8" w:rsidRPr="00C10CB8">
        <w:t xml:space="preserve"> pro </w:t>
      </w:r>
      <w:r w:rsidR="0001003F">
        <w:t>tato vozidla</w:t>
      </w:r>
      <w:r w:rsidR="00740B8F">
        <w:t xml:space="preserve"> </w:t>
      </w:r>
      <w:r w:rsidR="00C64EDF">
        <w:t>musí</w:t>
      </w:r>
      <w:r w:rsidR="00C10CB8" w:rsidRPr="005225AC">
        <w:rPr>
          <w:b/>
        </w:rPr>
        <w:t xml:space="preserve"> být dosaženo prostřednictvím</w:t>
      </w:r>
      <w:r w:rsidR="0001003F" w:rsidRPr="005225AC">
        <w:rPr>
          <w:b/>
        </w:rPr>
        <w:t xml:space="preserve"> </w:t>
      </w:r>
      <w:r w:rsidR="00591EE7" w:rsidRPr="005225AC">
        <w:rPr>
          <w:b/>
        </w:rPr>
        <w:t>vozidel splňujících</w:t>
      </w:r>
      <w:r w:rsidR="00591EE7">
        <w:t xml:space="preserve"> </w:t>
      </w:r>
      <w:r w:rsidR="00F95DCB" w:rsidRPr="005225AC">
        <w:rPr>
          <w:b/>
        </w:rPr>
        <w:t xml:space="preserve">přísnější </w:t>
      </w:r>
      <w:r w:rsidR="00112087">
        <w:rPr>
          <w:b/>
        </w:rPr>
        <w:t>podmínky, tedy prostřednictvím „bezemisních</w:t>
      </w:r>
      <w:r w:rsidR="00CF5042">
        <w:rPr>
          <w:b/>
        </w:rPr>
        <w:t>“ vozidel</w:t>
      </w:r>
      <w:r w:rsidR="00067DD3">
        <w:t xml:space="preserve"> </w:t>
      </w:r>
      <w:r w:rsidR="001A19AA">
        <w:t>(</w:t>
      </w:r>
      <w:r w:rsidR="00067DD3">
        <w:t xml:space="preserve">viz </w:t>
      </w:r>
      <w:r w:rsidR="00113CEF">
        <w:t>podkapitola 4.3.)</w:t>
      </w:r>
    </w:p>
    <w:p w14:paraId="229274F5" w14:textId="77777777" w:rsidR="006F2F3F" w:rsidRDefault="00067DD3" w:rsidP="00794486">
      <w:pPr>
        <w:jc w:val="both"/>
      </w:pPr>
      <w:r w:rsidRPr="006F2F3F">
        <w:rPr>
          <w:b/>
        </w:rPr>
        <w:t xml:space="preserve">Minimální podíl </w:t>
      </w:r>
      <w:proofErr w:type="spellStart"/>
      <w:r w:rsidRPr="006F2F3F">
        <w:rPr>
          <w:b/>
        </w:rPr>
        <w:t>nízkoemisních</w:t>
      </w:r>
      <w:proofErr w:type="spellEnd"/>
      <w:r w:rsidRPr="006F2F3F">
        <w:rPr>
          <w:b/>
        </w:rPr>
        <w:t xml:space="preserve"> vozidel se vypočítá jako podíl celkového počtu </w:t>
      </w:r>
      <w:proofErr w:type="spellStart"/>
      <w:r w:rsidRPr="006F2F3F">
        <w:rPr>
          <w:b/>
        </w:rPr>
        <w:t>nízkoemisních</w:t>
      </w:r>
      <w:proofErr w:type="spellEnd"/>
      <w:r w:rsidRPr="006F2F3F">
        <w:rPr>
          <w:b/>
        </w:rPr>
        <w:t xml:space="preserve"> vozidel vůči všem </w:t>
      </w:r>
      <w:r w:rsidR="00794486" w:rsidRPr="006F2F3F">
        <w:rPr>
          <w:b/>
        </w:rPr>
        <w:t xml:space="preserve">silničním </w:t>
      </w:r>
      <w:r w:rsidRPr="006F2F3F">
        <w:rPr>
          <w:b/>
        </w:rPr>
        <w:t>voz</w:t>
      </w:r>
      <w:r w:rsidR="00794486" w:rsidRPr="006F2F3F">
        <w:rPr>
          <w:b/>
        </w:rPr>
        <w:t>idlům</w:t>
      </w:r>
      <w:r w:rsidR="006F2F3F" w:rsidRPr="006F2F3F">
        <w:rPr>
          <w:b/>
        </w:rPr>
        <w:t>, která spadají do působnosti ZPNV a kterých se týkaly smlouvy spadající do působnosti ZPNV</w:t>
      </w:r>
      <w:r w:rsidR="00A51570" w:rsidRPr="006F2F3F">
        <w:rPr>
          <w:b/>
        </w:rPr>
        <w:t>.</w:t>
      </w:r>
      <w:r>
        <w:t xml:space="preserve"> </w:t>
      </w:r>
    </w:p>
    <w:p w14:paraId="3BD5788D" w14:textId="24B72EFD" w:rsidR="00794486" w:rsidRDefault="00794486" w:rsidP="00794486">
      <w:pPr>
        <w:jc w:val="both"/>
      </w:pPr>
      <w:r>
        <w:lastRenderedPageBreak/>
        <w:t>Pro účely výpočtu těchto po</w:t>
      </w:r>
      <w:r w:rsidR="002139E0">
        <w:t>dílů se</w:t>
      </w:r>
      <w:r w:rsidR="00A51570">
        <w:t xml:space="preserve"> </w:t>
      </w:r>
      <w:r w:rsidR="002139E0">
        <w:t xml:space="preserve">zohlední vozidla </w:t>
      </w:r>
      <w:r w:rsidR="006F2F3F">
        <w:t>spadající do působnosti ZPNV</w:t>
      </w:r>
      <w:r>
        <w:t>, která</w:t>
      </w:r>
    </w:p>
    <w:p w14:paraId="077E9204" w14:textId="77777777" w:rsidR="00794486" w:rsidRDefault="00794486" w:rsidP="00794486">
      <w:pPr>
        <w:jc w:val="both"/>
      </w:pPr>
      <w:r>
        <w:t>a)</w:t>
      </w:r>
      <w:r>
        <w:tab/>
        <w:t xml:space="preserve">u veřejných zakázek na pořízení vozidla byla </w:t>
      </w:r>
      <w:r w:rsidRPr="00740B8F">
        <w:rPr>
          <w:b/>
        </w:rPr>
        <w:t>předmětem těchto VZ</w:t>
      </w:r>
      <w:r>
        <w:t xml:space="preserve"> a</w:t>
      </w:r>
    </w:p>
    <w:p w14:paraId="1DB4604C" w14:textId="06BDA71F" w:rsidR="00794486" w:rsidRDefault="00794486" w:rsidP="00794486">
      <w:pPr>
        <w:jc w:val="both"/>
      </w:pPr>
      <w:r>
        <w:t>b)</w:t>
      </w:r>
      <w:r>
        <w:tab/>
        <w:t xml:space="preserve">u veřejných zakázek na služby </w:t>
      </w:r>
      <w:r w:rsidR="00113CEF">
        <w:t>budou</w:t>
      </w:r>
      <w:r>
        <w:t xml:space="preserve"> </w:t>
      </w:r>
      <w:r w:rsidRPr="00740B8F">
        <w:rPr>
          <w:b/>
        </w:rPr>
        <w:t>využívána pro poskytování těchto služeb</w:t>
      </w:r>
      <w:r>
        <w:t>.</w:t>
      </w:r>
    </w:p>
    <w:p w14:paraId="5B42A73D" w14:textId="3B6DD6AA" w:rsidR="00113CEF" w:rsidRPr="00113CEF" w:rsidRDefault="00794486" w:rsidP="00527853">
      <w:pPr>
        <w:jc w:val="both"/>
        <w:rPr>
          <w:b/>
        </w:rPr>
      </w:pPr>
      <w:r w:rsidRPr="00113CEF">
        <w:t>Nezáleží přitom, o jaký způsob pořízení vozi</w:t>
      </w:r>
      <w:r w:rsidR="0089281D" w:rsidRPr="00113CEF">
        <w:t>dla (nákup, pronájem, leasing</w:t>
      </w:r>
      <w:r w:rsidRPr="00113CEF">
        <w:t>) se jedná nebo zda se jedná</w:t>
      </w:r>
      <w:r w:rsidR="00612D93">
        <w:t xml:space="preserve"> o pořízení vozidla nebo o</w:t>
      </w:r>
      <w:r w:rsidRPr="00113CEF">
        <w:t xml:space="preserve"> pořízení služby</w:t>
      </w:r>
      <w:r w:rsidR="00612D93">
        <w:t>, k jejímuž poskytování bude vozidlo využíváno</w:t>
      </w:r>
      <w:r w:rsidRPr="00113CEF">
        <w:t xml:space="preserve">. </w:t>
      </w:r>
      <w:r w:rsidR="00067DD3" w:rsidRPr="00113CEF">
        <w:t>Rozhodné je dosažení v</w:t>
      </w:r>
      <w:r w:rsidR="000C0340" w:rsidRPr="00113CEF">
        <w:t> </w:t>
      </w:r>
      <w:r w:rsidR="00427D64" w:rsidRPr="00113CEF">
        <w:t>§</w:t>
      </w:r>
      <w:r w:rsidR="000C0340" w:rsidRPr="00113CEF">
        <w:t xml:space="preserve"> 4 odst. 1 </w:t>
      </w:r>
      <w:r w:rsidR="00D948ED" w:rsidRPr="00113CEF">
        <w:t>ZPNV</w:t>
      </w:r>
      <w:r w:rsidR="00D05527" w:rsidRPr="00113CEF">
        <w:t xml:space="preserve"> </w:t>
      </w:r>
      <w:r w:rsidR="00067DD3" w:rsidRPr="00113CEF">
        <w:t>stanovených jednotlivých výš</w:t>
      </w:r>
      <w:r w:rsidR="009A676F" w:rsidRPr="00113CEF">
        <w:t xml:space="preserve">í podílů. </w:t>
      </w:r>
      <w:r w:rsidR="009A676F" w:rsidRPr="00113CEF">
        <w:rPr>
          <w:b/>
        </w:rPr>
        <w:t>Jednotlivé výše podílů</w:t>
      </w:r>
      <w:r w:rsidR="00067DD3" w:rsidRPr="00113CEF">
        <w:rPr>
          <w:b/>
        </w:rPr>
        <w:t xml:space="preserve"> </w:t>
      </w:r>
      <w:proofErr w:type="spellStart"/>
      <w:r w:rsidR="00067DD3" w:rsidRPr="00113CEF">
        <w:rPr>
          <w:b/>
        </w:rPr>
        <w:t>nízkoemisních</w:t>
      </w:r>
      <w:proofErr w:type="spellEnd"/>
      <w:r w:rsidR="00067DD3" w:rsidRPr="00113CEF">
        <w:rPr>
          <w:b/>
        </w:rPr>
        <w:t xml:space="preserve"> vozidel jsou</w:t>
      </w:r>
      <w:r w:rsidR="009A676F" w:rsidRPr="00113CEF">
        <w:rPr>
          <w:b/>
        </w:rPr>
        <w:t xml:space="preserve"> </w:t>
      </w:r>
      <w:r w:rsidR="00067DD3" w:rsidRPr="00113CEF">
        <w:rPr>
          <w:b/>
        </w:rPr>
        <w:t>stanoveny ve vztahu k určeným skupinám kategorií vozidel</w:t>
      </w:r>
      <w:r w:rsidR="00112087">
        <w:rPr>
          <w:b/>
        </w:rPr>
        <w:t xml:space="preserve"> (viz přehled uvedený v tabulce)</w:t>
      </w:r>
      <w:r w:rsidR="00067DD3" w:rsidRPr="00113CEF">
        <w:rPr>
          <w:b/>
        </w:rPr>
        <w:t xml:space="preserve">. </w:t>
      </w:r>
    </w:p>
    <w:p w14:paraId="268E3813" w14:textId="4C312B7B" w:rsidR="00067DD3" w:rsidRPr="00113CEF" w:rsidRDefault="00067DD3" w:rsidP="00527853">
      <w:pPr>
        <w:jc w:val="both"/>
      </w:pPr>
      <w:r w:rsidRPr="00113CEF">
        <w:rPr>
          <w:b/>
        </w:rPr>
        <w:t>Z výše uvedeného vyplývá, že určených</w:t>
      </w:r>
      <w:r w:rsidR="00612D93">
        <w:rPr>
          <w:b/>
        </w:rPr>
        <w:t xml:space="preserve"> minimálních</w:t>
      </w:r>
      <w:r w:rsidRPr="00113CEF">
        <w:rPr>
          <w:b/>
        </w:rPr>
        <w:t xml:space="preserve"> podílů </w:t>
      </w:r>
      <w:proofErr w:type="spellStart"/>
      <w:r w:rsidR="00E05F14">
        <w:rPr>
          <w:b/>
        </w:rPr>
        <w:t>nízkoemisních</w:t>
      </w:r>
      <w:proofErr w:type="spellEnd"/>
      <w:r w:rsidR="00E05F14">
        <w:rPr>
          <w:b/>
        </w:rPr>
        <w:t xml:space="preserve"> vozidel </w:t>
      </w:r>
      <w:r w:rsidRPr="00113CEF">
        <w:rPr>
          <w:b/>
        </w:rPr>
        <w:t>musí zadavatelé a objednatelé dosáhnout nikoliv v rámci každé jednotlivé smlouvy na veřejnou zakázku nebo na veřejné služby v přepravě cestujících, ale až v souhrnu všech těchto smluv na veřejné zakázky a veřejné služby v přepravě cestujících</w:t>
      </w:r>
      <w:r w:rsidR="00004DBF" w:rsidRPr="00113CEF">
        <w:rPr>
          <w:b/>
        </w:rPr>
        <w:t xml:space="preserve"> v určených</w:t>
      </w:r>
      <w:r w:rsidR="00A914AC" w:rsidRPr="00113CEF">
        <w:rPr>
          <w:b/>
        </w:rPr>
        <w:t xml:space="preserve"> </w:t>
      </w:r>
      <w:r w:rsidR="00004DBF" w:rsidRPr="00113CEF">
        <w:rPr>
          <w:b/>
        </w:rPr>
        <w:t>skupinách kategorií vozidel</w:t>
      </w:r>
      <w:r w:rsidRPr="00113CEF">
        <w:rPr>
          <w:b/>
        </w:rPr>
        <w:t xml:space="preserve"> za celé </w:t>
      </w:r>
      <w:r w:rsidR="0060151A" w:rsidRPr="00113CEF">
        <w:rPr>
          <w:b/>
        </w:rPr>
        <w:t>sledované</w:t>
      </w:r>
      <w:r w:rsidRPr="00113CEF">
        <w:rPr>
          <w:b/>
        </w:rPr>
        <w:t xml:space="preserve"> časové období.</w:t>
      </w:r>
      <w:r w:rsidR="00F53ED9" w:rsidRPr="00113CEF">
        <w:t xml:space="preserve"> Pokud tedy např. zadavatel </w:t>
      </w:r>
      <w:r w:rsidR="00E05F14">
        <w:t xml:space="preserve">v prvním sledovaném období </w:t>
      </w:r>
      <w:r w:rsidR="008E0119">
        <w:t>pořídil</w:t>
      </w:r>
      <w:r w:rsidR="00E05F14">
        <w:t xml:space="preserve"> </w:t>
      </w:r>
      <w:r w:rsidR="009A6D48">
        <w:t>trolejbusy</w:t>
      </w:r>
      <w:r w:rsidR="008E0119">
        <w:t xml:space="preserve"> </w:t>
      </w:r>
      <w:r w:rsidR="00F53ED9" w:rsidRPr="00113CEF">
        <w:t xml:space="preserve">a současně v roli objednatele zadal </w:t>
      </w:r>
      <w:r w:rsidR="00E55267" w:rsidRPr="00113CEF">
        <w:t xml:space="preserve">v nabídkovém řízení </w:t>
      </w:r>
      <w:r w:rsidR="00F53ED9" w:rsidRPr="00113CEF">
        <w:t>veřejné služby v přepravě cestujících</w:t>
      </w:r>
      <w:r w:rsidR="00333AF4">
        <w:t>, které budou poskytovány prostřednictvím autobusů kategorie M3 třídy I nebo A</w:t>
      </w:r>
      <w:r w:rsidR="00112087">
        <w:t>,</w:t>
      </w:r>
      <w:r w:rsidR="008E0119">
        <w:t xml:space="preserve"> tak </w:t>
      </w:r>
      <w:r w:rsidR="00333AF4">
        <w:t xml:space="preserve">vypočítá </w:t>
      </w:r>
      <w:r w:rsidR="00112087">
        <w:t xml:space="preserve">minimální podíl </w:t>
      </w:r>
      <w:proofErr w:type="spellStart"/>
      <w:r w:rsidR="00333AF4">
        <w:t>nízkoemisních</w:t>
      </w:r>
      <w:proofErr w:type="spellEnd"/>
      <w:r w:rsidR="00333AF4">
        <w:t xml:space="preserve"> vozidel z počtů </w:t>
      </w:r>
      <w:r w:rsidR="008E0119">
        <w:t>těchto vozidel pořízených a</w:t>
      </w:r>
      <w:r w:rsidR="00333AF4">
        <w:t xml:space="preserve"> využívaných v rámci </w:t>
      </w:r>
      <w:r w:rsidR="008E0119">
        <w:t>těchto</w:t>
      </w:r>
      <w:r w:rsidR="00333AF4">
        <w:t xml:space="preserve"> smluv. </w:t>
      </w:r>
      <w:r w:rsidR="00410643">
        <w:t xml:space="preserve">Podíl </w:t>
      </w:r>
      <w:proofErr w:type="spellStart"/>
      <w:r w:rsidR="00410643">
        <w:t>nízkoemisních</w:t>
      </w:r>
      <w:proofErr w:type="spellEnd"/>
      <w:r w:rsidR="00410643">
        <w:t xml:space="preserve"> vozidel musí být u</w:t>
      </w:r>
      <w:r w:rsidR="00333AF4">
        <w:t xml:space="preserve"> skupiny těchto kategorií vozidel (kategorie M3 (třídy I a A) a trolejbusů) </w:t>
      </w:r>
      <w:r w:rsidR="00112087">
        <w:t xml:space="preserve">v prvním sledovaném období </w:t>
      </w:r>
      <w:r w:rsidR="00410643">
        <w:t xml:space="preserve">minimálně </w:t>
      </w:r>
      <w:r w:rsidR="00112087">
        <w:t xml:space="preserve">41 % </w:t>
      </w:r>
      <w:proofErr w:type="spellStart"/>
      <w:r w:rsidR="00112087">
        <w:t>nízkoemisních</w:t>
      </w:r>
      <w:proofErr w:type="spellEnd"/>
      <w:r w:rsidR="00112087">
        <w:t xml:space="preserve"> vozidel a z</w:t>
      </w:r>
      <w:r w:rsidR="00410643">
        <w:t> </w:t>
      </w:r>
      <w:r w:rsidR="00112087">
        <w:t>toho</w:t>
      </w:r>
      <w:r w:rsidR="00410643">
        <w:t xml:space="preserve"> minimálně</w:t>
      </w:r>
      <w:r w:rsidR="00112087">
        <w:t xml:space="preserve"> polovina (tedy 20,5 %</w:t>
      </w:r>
      <w:r w:rsidR="00DA7FB2">
        <w:t>)</w:t>
      </w:r>
      <w:r w:rsidR="00333AF4">
        <w:t xml:space="preserve"> pak musí být</w:t>
      </w:r>
      <w:r w:rsidR="00CF5042">
        <w:t xml:space="preserve"> „bezemisních“ vozidel</w:t>
      </w:r>
      <w:r w:rsidR="00E05F14">
        <w:t xml:space="preserve"> (tedy vozidel splňujících podmínky podle § 4 odst. 4 ZPNV)</w:t>
      </w:r>
      <w:r w:rsidR="00333AF4">
        <w:t>.</w:t>
      </w:r>
      <w:r w:rsidR="00410643">
        <w:t xml:space="preserve"> </w:t>
      </w:r>
    </w:p>
    <w:p w14:paraId="390A0798" w14:textId="199D3656" w:rsidR="002466A1" w:rsidRPr="00794486" w:rsidRDefault="002466A1" w:rsidP="00DB1B32">
      <w:pPr>
        <w:pStyle w:val="Nadpis2"/>
      </w:pPr>
    </w:p>
    <w:p w14:paraId="62ED1E80" w14:textId="1B5F904F" w:rsidR="00CD3402" w:rsidRDefault="00CD3402" w:rsidP="00DB1B32">
      <w:pPr>
        <w:pStyle w:val="Nadpis2"/>
      </w:pPr>
      <w:bookmarkStart w:id="13" w:name="_Toc157593046"/>
      <w:r>
        <w:t xml:space="preserve">3.2. Minimální podíly </w:t>
      </w:r>
      <w:proofErr w:type="spellStart"/>
      <w:r>
        <w:t>nízkoemisních</w:t>
      </w:r>
      <w:proofErr w:type="spellEnd"/>
      <w:r>
        <w:t xml:space="preserve"> vozidel při centralizovaném zadávání</w:t>
      </w:r>
      <w:bookmarkEnd w:id="13"/>
    </w:p>
    <w:p w14:paraId="3DB7FBD4" w14:textId="726DA6E0" w:rsidR="00CD3402" w:rsidRDefault="00CD3402" w:rsidP="00F34FB6">
      <w:pPr>
        <w:pStyle w:val="Odstavecseseznamem"/>
        <w:numPr>
          <w:ilvl w:val="0"/>
          <w:numId w:val="16"/>
        </w:numPr>
        <w:jc w:val="both"/>
      </w:pPr>
      <w:r w:rsidRPr="00F34FB6">
        <w:rPr>
          <w:b/>
        </w:rPr>
        <w:t>Ve vztahu k centralizovanému zadávání je</w:t>
      </w:r>
      <w:r>
        <w:t xml:space="preserve"> pro výpočet minimálních podílů </w:t>
      </w:r>
      <w:proofErr w:type="spellStart"/>
      <w:r>
        <w:t>nízkoemisních</w:t>
      </w:r>
      <w:proofErr w:type="spellEnd"/>
      <w:r>
        <w:t xml:space="preserve"> vozidel </w:t>
      </w:r>
      <w:r w:rsidRPr="00F34FB6">
        <w:rPr>
          <w:b/>
        </w:rPr>
        <w:t>rozhodující to, který zadavatel uzavírá smlouvu spadající do působnosti ZPNV</w:t>
      </w:r>
      <w:r>
        <w:t>, zda centrální zadavatel, či zadavatel, pro kterého je centrální zadávání prováděno. Tento zadavatel</w:t>
      </w:r>
      <w:r w:rsidR="00363884">
        <w:t xml:space="preserve"> (uzavírající smlouvu)</w:t>
      </w:r>
      <w:r>
        <w:t xml:space="preserve"> je pak zodpovědný za dodržení minimálního podílu </w:t>
      </w:r>
      <w:proofErr w:type="spellStart"/>
      <w:r>
        <w:t>nízkoemisních</w:t>
      </w:r>
      <w:proofErr w:type="spellEnd"/>
      <w:r>
        <w:t xml:space="preserve"> vozidel. To znamená, že </w:t>
      </w:r>
      <w:r w:rsidRPr="00F34FB6">
        <w:rPr>
          <w:b/>
        </w:rPr>
        <w:t xml:space="preserve">centrální zadavatel bude zodpovědným za dodržení minimálního podílu </w:t>
      </w:r>
      <w:proofErr w:type="spellStart"/>
      <w:r w:rsidRPr="00F34FB6">
        <w:rPr>
          <w:b/>
        </w:rPr>
        <w:t>nízkoemisních</w:t>
      </w:r>
      <w:proofErr w:type="spellEnd"/>
      <w:r w:rsidRPr="00F34FB6">
        <w:rPr>
          <w:b/>
        </w:rPr>
        <w:t xml:space="preserve"> vozidel u smluv na veřejné zakázky, které uzavře na základě § 9 odst. 1 písm. a) ZZVZ</w:t>
      </w:r>
      <w:r>
        <w:t xml:space="preserve">. </w:t>
      </w:r>
    </w:p>
    <w:p w14:paraId="247C9A59" w14:textId="77777777" w:rsidR="00F34FB6" w:rsidRDefault="00CD3402" w:rsidP="00F34FB6">
      <w:pPr>
        <w:pStyle w:val="Odstavecseseznamem"/>
        <w:numPr>
          <w:ilvl w:val="0"/>
          <w:numId w:val="16"/>
        </w:numPr>
        <w:jc w:val="both"/>
      </w:pPr>
      <w:r w:rsidRPr="00F34FB6">
        <w:rPr>
          <w:b/>
        </w:rPr>
        <w:t xml:space="preserve">V případech podle § 9 odst. 1 písm. b) ZZVZ budou za dodržení minimálního podílu </w:t>
      </w:r>
      <w:proofErr w:type="spellStart"/>
      <w:r w:rsidRPr="00F34FB6">
        <w:rPr>
          <w:b/>
        </w:rPr>
        <w:t>nízkoemisních</w:t>
      </w:r>
      <w:proofErr w:type="spellEnd"/>
      <w:r w:rsidRPr="00F34FB6">
        <w:rPr>
          <w:b/>
        </w:rPr>
        <w:t xml:space="preserve"> vozidel zodpovědní jednotliví</w:t>
      </w:r>
      <w:r w:rsidR="008E0119" w:rsidRPr="00F34FB6">
        <w:rPr>
          <w:b/>
        </w:rPr>
        <w:t xml:space="preserve"> </w:t>
      </w:r>
      <w:r w:rsidRPr="00F34FB6">
        <w:rPr>
          <w:b/>
        </w:rPr>
        <w:t>zadavatelé</w:t>
      </w:r>
      <w:r>
        <w:t xml:space="preserve"> účastnící se centralizovaného zadávání, a to ve vztahu k jimi uzavřeným smlouvám. Jednotliví zadavatelé účastnící se centralizovaného zadávání budou za dodržení minimálního podílu </w:t>
      </w:r>
      <w:proofErr w:type="spellStart"/>
      <w:r>
        <w:t>nízkoemisních</w:t>
      </w:r>
      <w:proofErr w:type="spellEnd"/>
      <w:r>
        <w:t xml:space="preserve"> vozidel zodpovědní i v případě, že uvedené smlouvy pro ně uzavírá centrální zadavatel na základě zmocnění ze smlouvy o centralizovaném zadávání.</w:t>
      </w:r>
      <w:r w:rsidR="00826F06">
        <w:t xml:space="preserve"> Výše uvedené znamená</w:t>
      </w:r>
      <w:r w:rsidR="008E0119">
        <w:t xml:space="preserve">, že </w:t>
      </w:r>
      <w:r w:rsidR="008E0119" w:rsidRPr="00F34FB6">
        <w:rPr>
          <w:b/>
        </w:rPr>
        <w:t xml:space="preserve">jednotliví </w:t>
      </w:r>
      <w:r w:rsidR="00826F06" w:rsidRPr="00F34FB6">
        <w:rPr>
          <w:b/>
        </w:rPr>
        <w:t>zadavatelé účastnící se centralizovaného zadávání si budou</w:t>
      </w:r>
      <w:r w:rsidR="00F34FB6" w:rsidRPr="00F34FB6">
        <w:rPr>
          <w:b/>
        </w:rPr>
        <w:t xml:space="preserve"> sami</w:t>
      </w:r>
      <w:r w:rsidR="00826F06" w:rsidRPr="00F34FB6">
        <w:rPr>
          <w:b/>
        </w:rPr>
        <w:t xml:space="preserve"> hlídat naplnění minimálního podílu </w:t>
      </w:r>
      <w:proofErr w:type="spellStart"/>
      <w:r w:rsidR="00826F06" w:rsidRPr="00F34FB6">
        <w:rPr>
          <w:b/>
        </w:rPr>
        <w:t>nízkoemisních</w:t>
      </w:r>
      <w:proofErr w:type="spellEnd"/>
      <w:r w:rsidR="00826F06" w:rsidRPr="00F34FB6">
        <w:rPr>
          <w:b/>
        </w:rPr>
        <w:t xml:space="preserve"> vozidel </w:t>
      </w:r>
      <w:r w:rsidR="00F34FB6" w:rsidRPr="00F34FB6">
        <w:rPr>
          <w:b/>
        </w:rPr>
        <w:t xml:space="preserve">u </w:t>
      </w:r>
      <w:r w:rsidR="00826F06" w:rsidRPr="00F34FB6">
        <w:rPr>
          <w:b/>
        </w:rPr>
        <w:t xml:space="preserve">jimi </w:t>
      </w:r>
      <w:r w:rsidR="00363884" w:rsidRPr="00F34FB6">
        <w:rPr>
          <w:b/>
        </w:rPr>
        <w:t xml:space="preserve">v rámci centralizovaného zadávání </w:t>
      </w:r>
      <w:r w:rsidR="00826F06" w:rsidRPr="00F34FB6">
        <w:rPr>
          <w:b/>
        </w:rPr>
        <w:t>uzavíraných smluv bez ohledu na ostatní smlouvy uzavírané centrálním zadavatelem nebo jinými zadavateli v rámci centralizovaného zadávání.</w:t>
      </w:r>
      <w:r w:rsidR="00E55267">
        <w:t xml:space="preserve"> </w:t>
      </w:r>
    </w:p>
    <w:p w14:paraId="5644B9FF" w14:textId="5F2E9330" w:rsidR="00CD3402" w:rsidRDefault="00E55267" w:rsidP="00F34FB6">
      <w:pPr>
        <w:pStyle w:val="Odstavecseseznamem"/>
        <w:numPr>
          <w:ilvl w:val="0"/>
          <w:numId w:val="16"/>
        </w:numPr>
        <w:jc w:val="both"/>
      </w:pPr>
      <w:r>
        <w:lastRenderedPageBreak/>
        <w:t>Počty vozidel, které si</w:t>
      </w:r>
      <w:r w:rsidR="008E0119">
        <w:t xml:space="preserve"> zadavatel pořídil díky centralizovanému zadávání</w:t>
      </w:r>
      <w:r w:rsidR="00363884">
        <w:t>,</w:t>
      </w:r>
      <w:r>
        <w:t xml:space="preserve"> </w:t>
      </w:r>
      <w:r w:rsidR="008E0119">
        <w:t>ať už je</w:t>
      </w:r>
      <w:r>
        <w:t xml:space="preserve"> vykázal samostatně</w:t>
      </w:r>
      <w:r w:rsidR="008E0119">
        <w:t xml:space="preserve"> </w:t>
      </w:r>
      <w:r>
        <w:t xml:space="preserve">nebo </w:t>
      </w:r>
      <w:r w:rsidR="008E0119">
        <w:t>je</w:t>
      </w:r>
      <w:r>
        <w:t xml:space="preserve"> za něj vykázal centrální zadavatel</w:t>
      </w:r>
      <w:r w:rsidR="00CF13F0">
        <w:t>,</w:t>
      </w:r>
      <w:r>
        <w:t xml:space="preserve"> bude tento zadavatel</w:t>
      </w:r>
      <w:r w:rsidR="00826F06">
        <w:t xml:space="preserve"> pochopitelně sčítat s počty </w:t>
      </w:r>
      <w:r>
        <w:t>vozidel, které bude vykazovat</w:t>
      </w:r>
      <w:r w:rsidR="00826F06">
        <w:t xml:space="preserve"> při </w:t>
      </w:r>
      <w:r w:rsidR="00363884">
        <w:t xml:space="preserve">svém </w:t>
      </w:r>
      <w:r w:rsidR="00826F06">
        <w:t xml:space="preserve">„samostatném“ </w:t>
      </w:r>
      <w:r w:rsidR="00363884">
        <w:t>uzavírání smluv, tedy mimo centralizované zadávání</w:t>
      </w:r>
      <w:r>
        <w:t>.</w:t>
      </w:r>
    </w:p>
    <w:p w14:paraId="17BF5020" w14:textId="3D7FA270" w:rsidR="00CD3402" w:rsidRDefault="00CD3402" w:rsidP="00035AB4">
      <w:pPr>
        <w:jc w:val="both"/>
        <w:rPr>
          <w:b/>
        </w:rPr>
      </w:pPr>
    </w:p>
    <w:p w14:paraId="06EBDE56" w14:textId="162B5743" w:rsidR="007218E2" w:rsidRDefault="00CD3402" w:rsidP="00DB1B32">
      <w:pPr>
        <w:pStyle w:val="Nadpis2"/>
      </w:pPr>
      <w:bookmarkStart w:id="14" w:name="_Toc157593047"/>
      <w:r>
        <w:t>3.3</w:t>
      </w:r>
      <w:r w:rsidR="007218E2">
        <w:t xml:space="preserve">. Naplňování podílu </w:t>
      </w:r>
      <w:proofErr w:type="spellStart"/>
      <w:r>
        <w:t>nízkoemisních</w:t>
      </w:r>
      <w:proofErr w:type="spellEnd"/>
      <w:r>
        <w:t xml:space="preserve"> vozidel na základě smluv o veřejných službách v přepravě cestujících</w:t>
      </w:r>
      <w:bookmarkEnd w:id="14"/>
      <w:r w:rsidR="007218E2">
        <w:t xml:space="preserve"> </w:t>
      </w:r>
    </w:p>
    <w:p w14:paraId="50D23220" w14:textId="20DDCE2F" w:rsidR="00035AB4" w:rsidRPr="00112087" w:rsidRDefault="008E0119" w:rsidP="00035AB4">
      <w:pPr>
        <w:jc w:val="both"/>
      </w:pPr>
      <w:r>
        <w:t>K n</w:t>
      </w:r>
      <w:r w:rsidR="00CD3402" w:rsidRPr="00112087">
        <w:t xml:space="preserve">aplňování minimálního podílu </w:t>
      </w:r>
      <w:proofErr w:type="spellStart"/>
      <w:r w:rsidR="00CD3402" w:rsidRPr="00112087">
        <w:t>nízkoemisních</w:t>
      </w:r>
      <w:proofErr w:type="spellEnd"/>
      <w:r w:rsidR="00CD3402" w:rsidRPr="00112087">
        <w:t xml:space="preserve"> vozidel u smluv o veřejných službách v přepravě cestujících</w:t>
      </w:r>
      <w:r w:rsidR="00113CEF" w:rsidRPr="00112087">
        <w:t xml:space="preserve"> (</w:t>
      </w:r>
      <w:r w:rsidR="00112087" w:rsidRPr="00112087">
        <w:t xml:space="preserve">ať už </w:t>
      </w:r>
      <w:r w:rsidR="00113CEF" w:rsidRPr="00112087">
        <w:t xml:space="preserve">pořizovaných </w:t>
      </w:r>
      <w:r w:rsidR="00112087" w:rsidRPr="00112087">
        <w:t>jakožto veřejná zakázka</w:t>
      </w:r>
      <w:r w:rsidR="00113CEF" w:rsidRPr="00112087">
        <w:t xml:space="preserve"> či postupem podle zákona o veřejných službách v přepravě cestujících)</w:t>
      </w:r>
      <w:r w:rsidR="00CD3402" w:rsidRPr="00112087">
        <w:t xml:space="preserve"> </w:t>
      </w:r>
      <w:r>
        <w:t xml:space="preserve">vydala </w:t>
      </w:r>
      <w:r w:rsidR="00CD3402" w:rsidRPr="00112087">
        <w:t xml:space="preserve">Evropská komise </w:t>
      </w:r>
      <w:r w:rsidR="00113CEF" w:rsidRPr="00112087">
        <w:t>následující otázky a od</w:t>
      </w:r>
      <w:r w:rsidR="00826F06" w:rsidRPr="00112087">
        <w:t>povědi</w:t>
      </w:r>
      <w:r w:rsidR="005156A4">
        <w:t xml:space="preserve"> č. 15 až 18</w:t>
      </w:r>
      <w:r>
        <w:t xml:space="preserve"> </w:t>
      </w:r>
      <w:r w:rsidR="005156A4">
        <w:t xml:space="preserve">viz </w:t>
      </w:r>
      <w:hyperlink r:id="rId9" w:history="1">
        <w:r w:rsidR="00761C92" w:rsidRPr="00112087">
          <w:rPr>
            <w:rStyle w:val="Hypertextovodkaz"/>
          </w:rPr>
          <w:t>Sdělení Komise</w:t>
        </w:r>
      </w:hyperlink>
      <w:r w:rsidR="00A914AC" w:rsidRPr="00112087">
        <w:rPr>
          <w:rStyle w:val="Hypertextovodkaz"/>
        </w:rPr>
        <w:t xml:space="preserve"> EU</w:t>
      </w:r>
      <w:r w:rsidR="00826F06" w:rsidRPr="00112087">
        <w:rPr>
          <w:rStyle w:val="Hypertextovodkaz"/>
        </w:rPr>
        <w:t>)</w:t>
      </w:r>
      <w:r w:rsidR="005156A4">
        <w:t>.</w:t>
      </w:r>
    </w:p>
    <w:p w14:paraId="1F87BD29" w14:textId="5DB41868" w:rsidR="00BD6A7B" w:rsidRPr="00363884" w:rsidRDefault="00BD6A7B" w:rsidP="00363884">
      <w:pPr>
        <w:rPr>
          <w:b/>
        </w:rPr>
      </w:pPr>
    </w:p>
    <w:p w14:paraId="35709A53" w14:textId="0208CABD" w:rsidR="00F95DCB" w:rsidRDefault="0089281D" w:rsidP="0032217D">
      <w:pPr>
        <w:pStyle w:val="Nadpis1"/>
      </w:pPr>
      <w:bookmarkStart w:id="15" w:name="_Toc157593048"/>
      <w:r>
        <w:t xml:space="preserve">4. </w:t>
      </w:r>
      <w:r w:rsidR="00EA1BDF" w:rsidRPr="0089281D">
        <w:t>Defin</w:t>
      </w:r>
      <w:r w:rsidR="00D3458A" w:rsidRPr="0089281D">
        <w:t xml:space="preserve">ice </w:t>
      </w:r>
      <w:proofErr w:type="spellStart"/>
      <w:r w:rsidR="00D3458A" w:rsidRPr="0089281D">
        <w:t>nízkoemisního</w:t>
      </w:r>
      <w:proofErr w:type="spellEnd"/>
      <w:r w:rsidR="00D3458A" w:rsidRPr="0089281D">
        <w:t xml:space="preserve"> vozidla </w:t>
      </w:r>
      <w:r w:rsidR="00EA1BDF" w:rsidRPr="0089281D">
        <w:t xml:space="preserve">a </w:t>
      </w:r>
      <w:r w:rsidR="00F95DCB" w:rsidRPr="0089281D">
        <w:t>vozi</w:t>
      </w:r>
      <w:r w:rsidR="00E80F1A" w:rsidRPr="0089281D">
        <w:t xml:space="preserve">dla splňujícího podmínky podle </w:t>
      </w:r>
      <w:r w:rsidR="00B20C4B">
        <w:t>§</w:t>
      </w:r>
      <w:r w:rsidR="00F95DCB" w:rsidRPr="0089281D">
        <w:t xml:space="preserve"> 4 odst. 4</w:t>
      </w:r>
      <w:r w:rsidR="00067DD3" w:rsidRPr="0089281D">
        <w:t xml:space="preserve"> </w:t>
      </w:r>
      <w:r w:rsidR="00D948ED">
        <w:t>ZPNV</w:t>
      </w:r>
      <w:bookmarkEnd w:id="15"/>
    </w:p>
    <w:p w14:paraId="26565987" w14:textId="77777777" w:rsidR="00365D85" w:rsidRPr="00365D85" w:rsidRDefault="00365D85" w:rsidP="00365D85"/>
    <w:p w14:paraId="0E4091D2" w14:textId="622E8FBF" w:rsidR="00CF13F0" w:rsidRDefault="00CF13F0" w:rsidP="00365D85">
      <w:pPr>
        <w:pStyle w:val="Nadpis2"/>
      </w:pPr>
      <w:bookmarkStart w:id="16" w:name="_Toc157593049"/>
      <w:r>
        <w:t>4.1.</w:t>
      </w:r>
      <w:r w:rsidR="007E77F3">
        <w:t xml:space="preserve"> </w:t>
      </w:r>
      <w:proofErr w:type="spellStart"/>
      <w:r w:rsidR="00363884">
        <w:t>Nízkoemisní</w:t>
      </w:r>
      <w:proofErr w:type="spellEnd"/>
      <w:r w:rsidR="00363884">
        <w:t xml:space="preserve"> v</w:t>
      </w:r>
      <w:r>
        <w:t>ozidla</w:t>
      </w:r>
      <w:r w:rsidR="007A7CFD" w:rsidRPr="00494626">
        <w:t xml:space="preserve"> kategorie M1, M2 a N1</w:t>
      </w:r>
      <w:bookmarkEnd w:id="16"/>
      <w:r w:rsidR="007A7CFD">
        <w:t xml:space="preserve"> </w:t>
      </w:r>
    </w:p>
    <w:p w14:paraId="2A5234FC" w14:textId="6C6008B8" w:rsidR="00CF13F0" w:rsidRDefault="00CF13F0" w:rsidP="005D74D1">
      <w:pPr>
        <w:jc w:val="both"/>
      </w:pPr>
      <w:r>
        <w:rPr>
          <w:b/>
        </w:rPr>
        <w:t>V</w:t>
      </w:r>
      <w:r w:rsidR="00ED2721" w:rsidRPr="00494626">
        <w:rPr>
          <w:b/>
        </w:rPr>
        <w:t> prvním sledovaném období</w:t>
      </w:r>
      <w:r w:rsidR="00ED2721">
        <w:t xml:space="preserve"> (od účinnosti </w:t>
      </w:r>
      <w:r w:rsidR="00D948ED">
        <w:t>ZPNV</w:t>
      </w:r>
      <w:r w:rsidR="00ED2721">
        <w:t xml:space="preserve"> do 31. prosince 2025) se</w:t>
      </w:r>
      <w:r w:rsidR="00647CD3">
        <w:t xml:space="preserve"> </w:t>
      </w:r>
      <w:r w:rsidR="00647CD3" w:rsidRPr="005D74D1">
        <w:rPr>
          <w:b/>
        </w:rPr>
        <w:t xml:space="preserve">za </w:t>
      </w:r>
      <w:proofErr w:type="spellStart"/>
      <w:r w:rsidR="00647CD3" w:rsidRPr="005D74D1">
        <w:rPr>
          <w:b/>
        </w:rPr>
        <w:t>nízkoemisní</w:t>
      </w:r>
      <w:proofErr w:type="spellEnd"/>
      <w:r w:rsidR="00647CD3" w:rsidRPr="005D74D1">
        <w:rPr>
          <w:b/>
        </w:rPr>
        <w:t xml:space="preserve"> vozidlo považuje</w:t>
      </w:r>
      <w:r w:rsidR="00647CD3">
        <w:t xml:space="preserve"> vozidlo nepřesahující </w:t>
      </w:r>
      <w:r w:rsidR="00CF5042">
        <w:t>emisní limit</w:t>
      </w:r>
      <w:r w:rsidR="00647CD3">
        <w:t xml:space="preserve"> CO</w:t>
      </w:r>
      <w:r w:rsidR="00647CD3" w:rsidRPr="00F95DCB">
        <w:rPr>
          <w:vertAlign w:val="subscript"/>
        </w:rPr>
        <w:t>2</w:t>
      </w:r>
      <w:r w:rsidR="00647CD3">
        <w:t xml:space="preserve"> ve výši 50 g/km (</w:t>
      </w:r>
      <w:r w:rsidR="00647CD3" w:rsidRPr="00494626">
        <w:t xml:space="preserve">jedná se o </w:t>
      </w:r>
      <w:r w:rsidR="007A2F43" w:rsidRPr="00494626">
        <w:t>hodnotu</w:t>
      </w:r>
      <w:r w:rsidR="00821426" w:rsidRPr="00494626">
        <w:t xml:space="preserve"> </w:t>
      </w:r>
      <w:r w:rsidR="00647CD3" w:rsidRPr="00494626">
        <w:t>z kombinovaného provozu</w:t>
      </w:r>
      <w:r w:rsidR="00647CD3">
        <w:t xml:space="preserve">) a 80 % </w:t>
      </w:r>
      <w:r w:rsidR="008C33E8" w:rsidRPr="008C33E8">
        <w:t xml:space="preserve">emisních limitů pro látky znečišťující ovzduší v reálném provozu </w:t>
      </w:r>
      <w:r w:rsidR="00647CD3">
        <w:t xml:space="preserve">podle </w:t>
      </w:r>
      <w:r w:rsidR="00BB00C9">
        <w:t xml:space="preserve">přílohy I </w:t>
      </w:r>
      <w:r w:rsidR="00736FC3">
        <w:t xml:space="preserve">(tabulka 2) </w:t>
      </w:r>
      <w:r w:rsidR="00BB00C9">
        <w:t>Nařízení Evropského parlamentu a Rady (ES) č. 715/2007 ze dne 20. června 2007 o schvalování typu motorových vozidel z hlediska emisí z lehkých osobních vozidel a z užitkových vozidel (Euro 5 a Euro 6) v platném znění.</w:t>
      </w:r>
    </w:p>
    <w:p w14:paraId="3BDD201E" w14:textId="2E1FC637" w:rsidR="00F842FE" w:rsidRDefault="00ED2721" w:rsidP="005D74D1">
      <w:pPr>
        <w:jc w:val="both"/>
      </w:pPr>
      <w:r w:rsidRPr="00494626">
        <w:rPr>
          <w:b/>
        </w:rPr>
        <w:t>Ve druhém sledovaném období</w:t>
      </w:r>
      <w:r>
        <w:t xml:space="preserve"> (od 1. ledna 2026 do 31. prosince 2030) </w:t>
      </w:r>
      <w:r w:rsidRPr="00494626">
        <w:rPr>
          <w:b/>
        </w:rPr>
        <w:t xml:space="preserve">se za </w:t>
      </w:r>
      <w:proofErr w:type="spellStart"/>
      <w:r w:rsidRPr="00494626">
        <w:rPr>
          <w:b/>
        </w:rPr>
        <w:t>nízkoemisní</w:t>
      </w:r>
      <w:proofErr w:type="spellEnd"/>
      <w:r w:rsidRPr="00494626">
        <w:rPr>
          <w:b/>
        </w:rPr>
        <w:t xml:space="preserve"> vozidlo </w:t>
      </w:r>
      <w:r w:rsidR="004E5B58" w:rsidRPr="00494626">
        <w:rPr>
          <w:b/>
        </w:rPr>
        <w:t>bude považovat</w:t>
      </w:r>
      <w:r w:rsidR="00494626">
        <w:t xml:space="preserve"> silniční vozidlo, </w:t>
      </w:r>
      <w:r w:rsidR="004E5B58" w:rsidRPr="00494626">
        <w:t>jehož provoz nemá žádné emise CO</w:t>
      </w:r>
      <w:r w:rsidR="004E5B58" w:rsidRPr="00494626">
        <w:rPr>
          <w:vertAlign w:val="subscript"/>
        </w:rPr>
        <w:t>2.</w:t>
      </w:r>
    </w:p>
    <w:p w14:paraId="2874CB0D" w14:textId="5E7E580F" w:rsidR="005924DB" w:rsidRDefault="00F842FE" w:rsidP="005D74D1">
      <w:pPr>
        <w:jc w:val="both"/>
      </w:pPr>
      <w:r w:rsidRPr="00494626">
        <w:t>Výše uvedené podmínky</w:t>
      </w:r>
      <w:r w:rsidR="00CF5042">
        <w:t xml:space="preserve"> </w:t>
      </w:r>
      <w:r w:rsidR="005924DB">
        <w:t>by měla splňovat:</w:t>
      </w:r>
      <w:r w:rsidR="005924DB" w:rsidRPr="00494626">
        <w:t xml:space="preserve"> </w:t>
      </w:r>
    </w:p>
    <w:p w14:paraId="63869F2A" w14:textId="0E25A153" w:rsidR="005924DB" w:rsidRDefault="00647CD3" w:rsidP="00071576">
      <w:pPr>
        <w:pStyle w:val="Odstavecseseznamem"/>
        <w:numPr>
          <w:ilvl w:val="0"/>
          <w:numId w:val="26"/>
        </w:numPr>
        <w:jc w:val="both"/>
      </w:pPr>
      <w:r w:rsidRPr="00494626">
        <w:t>ba</w:t>
      </w:r>
      <w:r w:rsidR="00CF5042">
        <w:t>teriová elektrická vozidla</w:t>
      </w:r>
      <w:r w:rsidRPr="00494626">
        <w:t xml:space="preserve"> </w:t>
      </w:r>
    </w:p>
    <w:p w14:paraId="514DD09B" w14:textId="782F68AB" w:rsidR="005924DB" w:rsidRDefault="00647CD3" w:rsidP="00071576">
      <w:pPr>
        <w:pStyle w:val="Odstavecseseznamem"/>
        <w:numPr>
          <w:ilvl w:val="0"/>
          <w:numId w:val="26"/>
        </w:numPr>
        <w:jc w:val="both"/>
      </w:pPr>
      <w:r w:rsidRPr="00494626">
        <w:t>vozidla s</w:t>
      </w:r>
      <w:r w:rsidR="005924DB">
        <w:t xml:space="preserve"> vodíkovým </w:t>
      </w:r>
      <w:r w:rsidRPr="00494626">
        <w:t xml:space="preserve">palivovým článkem (tj. vodíková vozidla) </w:t>
      </w:r>
    </w:p>
    <w:p w14:paraId="2D26010E" w14:textId="73372DC5" w:rsidR="00BB59BE" w:rsidRPr="00494626" w:rsidRDefault="00CF5042" w:rsidP="00071576">
      <w:pPr>
        <w:pStyle w:val="Odstavecseseznamem"/>
        <w:numPr>
          <w:ilvl w:val="0"/>
          <w:numId w:val="26"/>
        </w:numPr>
        <w:jc w:val="both"/>
      </w:pPr>
      <w:r>
        <w:t xml:space="preserve">v prvním sledovaném období ještě i </w:t>
      </w:r>
      <w:proofErr w:type="spellStart"/>
      <w:r w:rsidR="00647CD3" w:rsidRPr="00494626">
        <w:t>plug</w:t>
      </w:r>
      <w:proofErr w:type="spellEnd"/>
      <w:r w:rsidR="00647CD3" w:rsidRPr="00494626">
        <w:t xml:space="preserve">-in hybridy, případně elektrická vozidla s prodlouženým dojezdem (E-REV), a to za předpokladu, že splňují výše uvedené </w:t>
      </w:r>
      <w:r w:rsidR="00B8099D">
        <w:t>emisní limity pro první sledované období</w:t>
      </w:r>
      <w:r w:rsidR="00647CD3" w:rsidRPr="00494626">
        <w:t xml:space="preserve">. </w:t>
      </w:r>
    </w:p>
    <w:p w14:paraId="632724E1" w14:textId="3BB24C19" w:rsidR="00622C21" w:rsidRDefault="00622C21" w:rsidP="00365D85">
      <w:pPr>
        <w:pStyle w:val="Nadpis2"/>
      </w:pPr>
      <w:bookmarkStart w:id="17" w:name="_Toc157593050"/>
      <w:r>
        <w:t>4.2.</w:t>
      </w:r>
      <w:r w:rsidR="007E77F3">
        <w:t xml:space="preserve"> </w:t>
      </w:r>
      <w:proofErr w:type="spellStart"/>
      <w:r w:rsidR="00363884">
        <w:t>Nízkoemisní</w:t>
      </w:r>
      <w:proofErr w:type="spellEnd"/>
      <w:r w:rsidR="00363884">
        <w:t xml:space="preserve"> vozidla u kategorie </w:t>
      </w:r>
      <w:r w:rsidR="00494626">
        <w:t xml:space="preserve">M3 třídy I, M3 třídy </w:t>
      </w:r>
      <w:r w:rsidR="00363884">
        <w:t>A, N2, N3</w:t>
      </w:r>
      <w:r w:rsidR="00647CD3" w:rsidRPr="00C61CA0">
        <w:t xml:space="preserve"> </w:t>
      </w:r>
      <w:r w:rsidR="00363884">
        <w:t>a u trolejbusů</w:t>
      </w:r>
      <w:bookmarkEnd w:id="17"/>
    </w:p>
    <w:p w14:paraId="24D04973" w14:textId="42987029" w:rsidR="00F40B3B" w:rsidRDefault="00622C21" w:rsidP="001A0B0A">
      <w:pPr>
        <w:jc w:val="both"/>
      </w:pPr>
      <w:r>
        <w:rPr>
          <w:b/>
        </w:rPr>
        <w:t>D</w:t>
      </w:r>
      <w:r w:rsidR="00647CD3" w:rsidRPr="00C61CA0">
        <w:rPr>
          <w:b/>
        </w:rPr>
        <w:t xml:space="preserve">efinice </w:t>
      </w:r>
      <w:proofErr w:type="spellStart"/>
      <w:r w:rsidR="00647CD3" w:rsidRPr="00C61CA0">
        <w:rPr>
          <w:b/>
        </w:rPr>
        <w:t>nízkoemisního</w:t>
      </w:r>
      <w:proofErr w:type="spellEnd"/>
      <w:r w:rsidR="00647CD3" w:rsidRPr="00C61CA0">
        <w:rPr>
          <w:b/>
        </w:rPr>
        <w:t xml:space="preserve"> vozidla </w:t>
      </w:r>
      <w:r w:rsidR="00CF5042">
        <w:rPr>
          <w:b/>
        </w:rPr>
        <w:t xml:space="preserve">je zde </w:t>
      </w:r>
      <w:r w:rsidR="00647CD3" w:rsidRPr="00C61CA0">
        <w:rPr>
          <w:b/>
        </w:rPr>
        <w:t>stanovena jiným způsobem</w:t>
      </w:r>
      <w:r>
        <w:rPr>
          <w:b/>
        </w:rPr>
        <w:t xml:space="preserve"> než u v</w:t>
      </w:r>
      <w:r w:rsidR="00CF5042">
        <w:rPr>
          <w:b/>
        </w:rPr>
        <w:t> předchozí kapitole</w:t>
      </w:r>
      <w:r>
        <w:rPr>
          <w:b/>
        </w:rPr>
        <w:t xml:space="preserve"> uvedených kategorií </w:t>
      </w:r>
      <w:r w:rsidR="00CF5042">
        <w:rPr>
          <w:b/>
        </w:rPr>
        <w:t>vozidel</w:t>
      </w:r>
      <w:r w:rsidR="00647CD3">
        <w:t xml:space="preserve"> – do této definice spadají vozidla </w:t>
      </w:r>
      <w:r w:rsidR="00C61CA0">
        <w:t>využívající</w:t>
      </w:r>
      <w:r w:rsidR="00647CD3">
        <w:t xml:space="preserve"> alternativní paliva</w:t>
      </w:r>
      <w:r w:rsidR="00CA3572">
        <w:t xml:space="preserve"> </w:t>
      </w:r>
      <w:r w:rsidR="00CA3572" w:rsidRPr="00CA3572">
        <w:t xml:space="preserve">podle § 2 </w:t>
      </w:r>
      <w:r w:rsidR="00CA3572" w:rsidRPr="00CA3572">
        <w:lastRenderedPageBreak/>
        <w:t xml:space="preserve">písm. b) </w:t>
      </w:r>
      <w:r w:rsidR="00494626">
        <w:t>zákona</w:t>
      </w:r>
      <w:r w:rsidR="00CA3572" w:rsidRPr="00CA3572">
        <w:t xml:space="preserve"> o pohonných hmotách</w:t>
      </w:r>
      <w:r w:rsidR="00F40B3B">
        <w:rPr>
          <w:rStyle w:val="Znakapoznpodarou"/>
        </w:rPr>
        <w:footnoteReference w:id="12"/>
      </w:r>
      <w:r w:rsidR="00CA3572" w:rsidRPr="00CA3572">
        <w:t xml:space="preserve"> s výjimkou paliva s vysokým rizikem nepřímé změny ve využívání půdy vyráběného ze surovin, u nichž je zjištěno značné rozšíření oblasti produkce na půdu s velkou zásobou uhlíku</w:t>
      </w:r>
      <w:r w:rsidR="00F40B3B">
        <w:rPr>
          <w:rStyle w:val="Znakapoznpodarou"/>
        </w:rPr>
        <w:footnoteReference w:id="13"/>
      </w:r>
      <w:r w:rsidR="00CA3572">
        <w:t xml:space="preserve">. </w:t>
      </w:r>
      <w:r w:rsidR="001A0B0A">
        <w:t xml:space="preserve"> V návaznosti na implementaci evropské směrnice 2014/94/EU k infrastruktuře alternativních paliv (aktuálně nahrazena obdobným nařízením AFIR) je podle EN 16942 používán závazně v celé Evropě jednotný systém označování paliv.  Existuje </w:t>
      </w:r>
      <w:r w:rsidR="001A0B0A" w:rsidRPr="001A0B0A">
        <w:t xml:space="preserve">6 druhů alternativních paliv plus elektřina. </w:t>
      </w:r>
      <w:r w:rsidR="001A0B0A">
        <w:t>Jednoznačně lze deklarovat, že za alternativní paliva je možno ve smyslu současného stavu a dostupnosti považovat paliva pro spotřebitele označená jako B100, XTL (též označované jako HVO 100), CNG, LNG, LPG, H2 a elektřinu. Žádná jiná paliva než paliva podle těchto označení (a elektřina), nemohou být za alternativní paliva považována. Za alternativní paliva nemohou být označeny směsi fosilních paliv a biopaliv tj. E5, E10, E85, B7, B10, B20 a B30.</w:t>
      </w:r>
    </w:p>
    <w:p w14:paraId="26034DFB" w14:textId="0641C932" w:rsidR="00F842FE" w:rsidRDefault="009E4A7B" w:rsidP="005D74D1">
      <w:pPr>
        <w:jc w:val="both"/>
      </w:pPr>
      <w:r>
        <w:t>Ve vztahu k</w:t>
      </w:r>
      <w:r w:rsidR="00C61CA0">
        <w:t> elektrick</w:t>
      </w:r>
      <w:r w:rsidR="001936BF">
        <w:t>ý</w:t>
      </w:r>
      <w:r w:rsidR="00C61CA0">
        <w:t>m vozidlům lze uvést, že</w:t>
      </w:r>
      <w:r>
        <w:t xml:space="preserve"> </w:t>
      </w:r>
      <w:r w:rsidR="00C61CA0">
        <w:t>p</w:t>
      </w:r>
      <w:r w:rsidR="00647CD3">
        <w:t xml:space="preserve">odle čl. 2 bodu 2 směrnice 2014/94/EU se za elektrické vozidlo považuje pouze „motorové vozidlo s pohonem zahrnujícím alespoň jedno neperiferní elektrické zařízení jakožto měnič energie s elektricky dobíjeným systémem ukládání energie, který je možno dobíjet externě“. Z toho vyplývá, že zatímco </w:t>
      </w:r>
      <w:proofErr w:type="spellStart"/>
      <w:r w:rsidR="00647CD3">
        <w:t>plug</w:t>
      </w:r>
      <w:proofErr w:type="spellEnd"/>
      <w:r w:rsidR="00647CD3">
        <w:t xml:space="preserve">-in hybridní vozidlo mezi </w:t>
      </w:r>
      <w:proofErr w:type="spellStart"/>
      <w:r w:rsidR="00647CD3">
        <w:t>nízkoemisní</w:t>
      </w:r>
      <w:proofErr w:type="spellEnd"/>
      <w:r w:rsidR="00647CD3">
        <w:t xml:space="preserve"> vozidla u daných kategorií vozidel patří, klasické hybridní vozidlo, které neumožňuje externí dobíjení vozidla, nikoliv. </w:t>
      </w:r>
    </w:p>
    <w:p w14:paraId="67D34C21" w14:textId="576E09A0" w:rsidR="00647CD3" w:rsidRDefault="00647CD3" w:rsidP="005D74D1">
      <w:pPr>
        <w:jc w:val="both"/>
      </w:pPr>
      <w:r w:rsidRPr="00494626">
        <w:rPr>
          <w:b/>
        </w:rPr>
        <w:t>Vozidlo určené k provozu na dráze trolejbusové</w:t>
      </w:r>
      <w:r w:rsidR="00622C21">
        <w:rPr>
          <w:b/>
        </w:rPr>
        <w:t xml:space="preserve"> podle </w:t>
      </w:r>
      <w:r w:rsidR="00622C21" w:rsidRPr="00622C21">
        <w:rPr>
          <w:b/>
        </w:rPr>
        <w:t>Zákona č. 266/1994 Sb., o dráhác</w:t>
      </w:r>
      <w:r w:rsidR="00363884">
        <w:rPr>
          <w:b/>
        </w:rPr>
        <w:t>h, ve znění pozdějších předpisů</w:t>
      </w:r>
      <w:r w:rsidR="00494626">
        <w:rPr>
          <w:b/>
        </w:rPr>
        <w:t xml:space="preserve"> </w:t>
      </w:r>
      <w:r w:rsidR="00494626" w:rsidRPr="00494626">
        <w:t>(trolejbus)</w:t>
      </w:r>
      <w:r w:rsidRPr="00494626">
        <w:rPr>
          <w:b/>
        </w:rPr>
        <w:t xml:space="preserve"> </w:t>
      </w:r>
      <w:r>
        <w:t xml:space="preserve">bude vždy považováno za </w:t>
      </w:r>
      <w:proofErr w:type="spellStart"/>
      <w:r>
        <w:t>nízkoemisní</w:t>
      </w:r>
      <w:proofErr w:type="spellEnd"/>
      <w:r>
        <w:t xml:space="preserve"> vozidlo.</w:t>
      </w:r>
    </w:p>
    <w:p w14:paraId="6B85E9AC" w14:textId="77777777" w:rsidR="00C64EDF" w:rsidRDefault="00C64EDF" w:rsidP="00647CD3">
      <w:pPr>
        <w:jc w:val="both"/>
        <w:rPr>
          <w:b/>
        </w:rPr>
      </w:pPr>
    </w:p>
    <w:p w14:paraId="674771CD" w14:textId="39CCA3CF" w:rsidR="00C64EDF" w:rsidRDefault="00C64EDF" w:rsidP="00365D85">
      <w:pPr>
        <w:pStyle w:val="Nadpis2"/>
      </w:pPr>
      <w:bookmarkStart w:id="18" w:name="_Toc157593051"/>
      <w:r>
        <w:t>4.3. „Bezemisní</w:t>
      </w:r>
      <w:r w:rsidR="00CF5042">
        <w:t>“</w:t>
      </w:r>
      <w:r>
        <w:t xml:space="preserve"> </w:t>
      </w:r>
      <w:r w:rsidR="00CF5042">
        <w:t>vozidla</w:t>
      </w:r>
      <w:r>
        <w:t xml:space="preserve"> – vozidla splňující podmínky podle § 4 odst. 4 ZPNV</w:t>
      </w:r>
      <w:bookmarkEnd w:id="18"/>
    </w:p>
    <w:p w14:paraId="22D233D9" w14:textId="64AB1851" w:rsidR="00BD6A7B" w:rsidRDefault="007E77F3" w:rsidP="00CF5042">
      <w:pPr>
        <w:jc w:val="both"/>
      </w:pPr>
      <w:r>
        <w:rPr>
          <w:b/>
        </w:rPr>
        <w:t>Mezi vozidla</w:t>
      </w:r>
      <w:r w:rsidR="00D83164">
        <w:rPr>
          <w:b/>
        </w:rPr>
        <w:t xml:space="preserve"> kategorie M3 třídy I a </w:t>
      </w:r>
      <w:proofErr w:type="spellStart"/>
      <w:r w:rsidR="00D83164">
        <w:rPr>
          <w:b/>
        </w:rPr>
        <w:t>A</w:t>
      </w:r>
      <w:proofErr w:type="spellEnd"/>
      <w:r>
        <w:rPr>
          <w:b/>
        </w:rPr>
        <w:t xml:space="preserve">, která budou splňovat </w:t>
      </w:r>
      <w:r w:rsidR="00112087">
        <w:rPr>
          <w:b/>
        </w:rPr>
        <w:t>přísnější</w:t>
      </w:r>
      <w:r w:rsidR="00622C21">
        <w:rPr>
          <w:b/>
        </w:rPr>
        <w:t xml:space="preserve"> emisní limity </w:t>
      </w:r>
      <w:r w:rsidR="007A7CFD">
        <w:rPr>
          <w:b/>
        </w:rPr>
        <w:t>popsané v </w:t>
      </w:r>
      <w:r w:rsidR="00B20C4B">
        <w:rPr>
          <w:b/>
        </w:rPr>
        <w:t>§</w:t>
      </w:r>
      <w:r w:rsidR="00F95DCB" w:rsidRPr="00F95DCB">
        <w:rPr>
          <w:b/>
        </w:rPr>
        <w:t xml:space="preserve"> 4 odst. 4</w:t>
      </w:r>
      <w:r w:rsidR="00A9501C">
        <w:rPr>
          <w:b/>
        </w:rPr>
        <w:t xml:space="preserve"> </w:t>
      </w:r>
      <w:r w:rsidR="00D948ED">
        <w:rPr>
          <w:b/>
        </w:rPr>
        <w:t>ZPNV</w:t>
      </w:r>
      <w:r w:rsidR="005924DB">
        <w:rPr>
          <w:b/>
        </w:rPr>
        <w:t>, a která by se dala označit jako „bezemisní</w:t>
      </w:r>
      <w:r w:rsidR="00CF5042">
        <w:rPr>
          <w:b/>
        </w:rPr>
        <w:t>“ vozidla</w:t>
      </w:r>
      <w:r w:rsidR="00A11B36">
        <w:rPr>
          <w:b/>
        </w:rPr>
        <w:t xml:space="preserve">, </w:t>
      </w:r>
      <w:r>
        <w:t>budou patřit</w:t>
      </w:r>
      <w:r w:rsidR="00F95DCB">
        <w:t xml:space="preserve"> bateriová elektrická vozidla nebo vozidla s</w:t>
      </w:r>
      <w:r w:rsidR="00D83164">
        <w:t> vodíkovým palivovým článkem</w:t>
      </w:r>
      <w:r w:rsidR="006350A6">
        <w:t>.</w:t>
      </w:r>
      <w:r w:rsidR="00D83164">
        <w:t xml:space="preserve"> </w:t>
      </w:r>
      <w:r w:rsidR="00F95DCB">
        <w:t>Ve vztahu k</w:t>
      </w:r>
      <w:r>
        <w:t> </w:t>
      </w:r>
      <w:r w:rsidR="007A7CFD">
        <w:t>trolejbusům</w:t>
      </w:r>
      <w:r>
        <w:t>, které budou splňovat podmínky § 4 odst. 4 ZPNV,</w:t>
      </w:r>
      <w:r w:rsidR="007A7CFD">
        <w:t xml:space="preserve"> je nutné vykládat </w:t>
      </w:r>
      <w:r w:rsidR="006350A6">
        <w:t>splnění podmínek</w:t>
      </w:r>
      <w:r>
        <w:t xml:space="preserve"> jejich</w:t>
      </w:r>
      <w:r w:rsidR="006350A6">
        <w:t xml:space="preserve"> </w:t>
      </w:r>
      <w:r w:rsidR="006D3A98">
        <w:t>„</w:t>
      </w:r>
      <w:proofErr w:type="spellStart"/>
      <w:r w:rsidR="006D3A98">
        <w:t>bezemisnosti</w:t>
      </w:r>
      <w:proofErr w:type="spellEnd"/>
      <w:r w:rsidR="006D3A98">
        <w:t xml:space="preserve">“ </w:t>
      </w:r>
      <w:r w:rsidR="00F95DCB">
        <w:t>ve smyslu bodu 18 preambule novely směrnice o čistých vozidlech, podle kterého „trolejbusy se považují za autobusy s nulovými emisemi, pokud jsou poháněny pouze elektřinou nebo používají výhradně hnací ústrojí s nulovými emisemi (nejsou-li připojeny k elektrické síti).</w:t>
      </w:r>
      <w:r w:rsidR="00326A62">
        <w:t xml:space="preserve"> </w:t>
      </w:r>
      <w:r w:rsidR="00FA4991" w:rsidRPr="003F14D4">
        <w:rPr>
          <w:b/>
        </w:rPr>
        <w:t>To však na druhou stranu neznamená, že by nemohly mít jiný než elektrický pohon např. pro zajištění vytápění vozidla.</w:t>
      </w:r>
      <w:r w:rsidR="00FA4991" w:rsidRPr="00FA4991">
        <w:t xml:space="preserve">    </w:t>
      </w:r>
    </w:p>
    <w:p w14:paraId="12D0BDBC" w14:textId="5F6C3D9A" w:rsidR="008979B5" w:rsidRDefault="008979B5" w:rsidP="00CF5042">
      <w:pPr>
        <w:jc w:val="both"/>
      </w:pPr>
    </w:p>
    <w:p w14:paraId="568432BB" w14:textId="77777777" w:rsidR="008979B5" w:rsidRPr="00CF5042" w:rsidRDefault="008979B5" w:rsidP="00CF5042">
      <w:pPr>
        <w:jc w:val="both"/>
      </w:pPr>
    </w:p>
    <w:p w14:paraId="751BE25F" w14:textId="04C2C735" w:rsidR="00E004B3" w:rsidRDefault="0089281D" w:rsidP="0032217D">
      <w:pPr>
        <w:pStyle w:val="Nadpis1"/>
      </w:pPr>
      <w:bookmarkStart w:id="19" w:name="_Toc157593052"/>
      <w:r>
        <w:lastRenderedPageBreak/>
        <w:t xml:space="preserve">5. </w:t>
      </w:r>
      <w:r w:rsidR="00E97200">
        <w:t xml:space="preserve"> </w:t>
      </w:r>
      <w:r w:rsidR="00E97200" w:rsidRPr="00E97200">
        <w:t xml:space="preserve">Vykazování </w:t>
      </w:r>
      <w:r w:rsidR="00F51391">
        <w:t xml:space="preserve">plnění </w:t>
      </w:r>
      <w:r w:rsidR="00A841BD">
        <w:t>podílů</w:t>
      </w:r>
      <w:r w:rsidR="00F51391">
        <w:t xml:space="preserve"> </w:t>
      </w:r>
      <w:proofErr w:type="spellStart"/>
      <w:r w:rsidR="00F51391">
        <w:t>nízkoemisních</w:t>
      </w:r>
      <w:proofErr w:type="spellEnd"/>
      <w:r w:rsidR="00F51391">
        <w:t xml:space="preserve"> vozidel</w:t>
      </w:r>
      <w:bookmarkEnd w:id="19"/>
    </w:p>
    <w:p w14:paraId="6C908B5D" w14:textId="77777777" w:rsidR="0054034D" w:rsidRDefault="0054034D" w:rsidP="00E004B3">
      <w:pPr>
        <w:jc w:val="both"/>
      </w:pPr>
    </w:p>
    <w:p w14:paraId="49C84ED9" w14:textId="517ABC24" w:rsidR="00E004B3" w:rsidRDefault="00E004B3" w:rsidP="00E004B3">
      <w:pPr>
        <w:jc w:val="both"/>
      </w:pPr>
      <w:r w:rsidRPr="00E004B3">
        <w:t>Vykazování</w:t>
      </w:r>
      <w:r>
        <w:t xml:space="preserve"> </w:t>
      </w:r>
      <w:r w:rsidR="00D83164">
        <w:t xml:space="preserve">plnění podílů </w:t>
      </w:r>
      <w:proofErr w:type="spellStart"/>
      <w:r w:rsidR="00D83164">
        <w:t>nízkoemisních</w:t>
      </w:r>
      <w:proofErr w:type="spellEnd"/>
      <w:r w:rsidR="00D83164">
        <w:t xml:space="preserve"> vozidel (tedy vykazování vozidel spadajících do působnosti ZPNV)</w:t>
      </w:r>
      <w:r w:rsidR="005F3F2B">
        <w:t xml:space="preserve"> </w:t>
      </w:r>
      <w:r>
        <w:t xml:space="preserve">bude probíhat </w:t>
      </w:r>
      <w:r w:rsidRPr="009F5015">
        <w:rPr>
          <w:b/>
        </w:rPr>
        <w:t>odlišně za veřejné zakázky</w:t>
      </w:r>
      <w:r>
        <w:t xml:space="preserve"> (zadané na základě zadávacích řízení podle ZZVZ) a </w:t>
      </w:r>
      <w:r w:rsidRPr="009F5015">
        <w:rPr>
          <w:b/>
        </w:rPr>
        <w:t xml:space="preserve">odlišně za veřejné služby v přepravě cestujících </w:t>
      </w:r>
      <w:r w:rsidRPr="00D83164">
        <w:t xml:space="preserve">(zadané na základě nabídkových řízení či přímých zadání podle </w:t>
      </w:r>
      <w:r w:rsidR="00D83164">
        <w:t>zákona</w:t>
      </w:r>
      <w:r w:rsidRPr="00D83164">
        <w:t xml:space="preserve"> o veřejných službách v přepravě cestujících)</w:t>
      </w:r>
      <w:r>
        <w:t>.</w:t>
      </w:r>
    </w:p>
    <w:p w14:paraId="2485A9E2" w14:textId="0C6D5DB1" w:rsidR="00C61CA0" w:rsidRPr="001F3FF4" w:rsidRDefault="001F3FF4" w:rsidP="001F3FF4">
      <w:pPr>
        <w:pStyle w:val="Nadpis2"/>
      </w:pPr>
      <w:bookmarkStart w:id="20" w:name="_Toc157593053"/>
      <w:r w:rsidRPr="001F3FF4">
        <w:t xml:space="preserve">5.1. </w:t>
      </w:r>
      <w:r w:rsidR="00C61CA0" w:rsidRPr="001F3FF4">
        <w:t>Vykazování u veřejných zakázek</w:t>
      </w:r>
      <w:bookmarkEnd w:id="20"/>
    </w:p>
    <w:p w14:paraId="1874EC75" w14:textId="5DFDB814" w:rsidR="00F41E6B" w:rsidRDefault="00E004B3" w:rsidP="00E004B3">
      <w:pPr>
        <w:jc w:val="both"/>
      </w:pPr>
      <w:r w:rsidRPr="009F5015">
        <w:rPr>
          <w:b/>
        </w:rPr>
        <w:t>U veřejných zakázek</w:t>
      </w:r>
      <w:r>
        <w:t xml:space="preserve"> zadavatel </w:t>
      </w:r>
      <w:r w:rsidR="009E5FC3">
        <w:t xml:space="preserve">oznamuje </w:t>
      </w:r>
      <w:r>
        <w:t xml:space="preserve">počty vozidel </w:t>
      </w:r>
      <w:r w:rsidR="00977AA5">
        <w:t xml:space="preserve">současně s </w:t>
      </w:r>
      <w:r>
        <w:t xml:space="preserve"> plněním povinnosti podle § </w:t>
      </w:r>
      <w:r w:rsidRPr="00CC5582">
        <w:t>126, 137 nebo 142</w:t>
      </w:r>
      <w:r>
        <w:t xml:space="preserve"> ZZVZ, tedy povinnosti oznamovat výsledek zadávacího řízení </w:t>
      </w:r>
      <w:r w:rsidR="00F51391">
        <w:t>do Věstníku veřejných zakázek a Úředního věstníku EU</w:t>
      </w:r>
      <w:r>
        <w:t xml:space="preserve">. </w:t>
      </w:r>
      <w:r w:rsidR="00EF6444">
        <w:t xml:space="preserve">V praxi to vypadá tak, že </w:t>
      </w:r>
      <w:r w:rsidR="00FD01C1">
        <w:t>patřičná</w:t>
      </w:r>
      <w:r w:rsidR="00F51391">
        <w:t xml:space="preserve"> vykazovací</w:t>
      </w:r>
      <w:r w:rsidR="00FD01C1">
        <w:t xml:space="preserve"> pole</w:t>
      </w:r>
      <w:r w:rsidR="00EA33B5">
        <w:t xml:space="preserve"> </w:t>
      </w:r>
      <w:r w:rsidR="00EF6444">
        <w:t xml:space="preserve">zadavatel vyplňuje </w:t>
      </w:r>
      <w:r w:rsidRPr="00E651E7">
        <w:rPr>
          <w:b/>
        </w:rPr>
        <w:t xml:space="preserve">v žádosti o uveřejnění </w:t>
      </w:r>
      <w:r w:rsidR="00EF6444">
        <w:rPr>
          <w:b/>
        </w:rPr>
        <w:t xml:space="preserve">oznámení o výsledku zadávacího řízení </w:t>
      </w:r>
      <w:r w:rsidRPr="00EA33B5">
        <w:rPr>
          <w:b/>
        </w:rPr>
        <w:t>ve Věstníku veřejných zakázek</w:t>
      </w:r>
      <w:r>
        <w:t>.</w:t>
      </w:r>
      <w:bookmarkStart w:id="21" w:name="_GoBack"/>
      <w:bookmarkEnd w:id="21"/>
      <w:r w:rsidR="00823C2A">
        <w:rPr>
          <w:rStyle w:val="Znakapoznpodarou"/>
        </w:rPr>
        <w:footnoteReference w:id="14"/>
      </w:r>
      <w:r w:rsidR="00E7489C">
        <w:t xml:space="preserve"> Při oznamování výsledku zadávacího řízení, ve kterém byla uzavřena RD nebo zaveden DNS, se počty vozidel nevykazují</w:t>
      </w:r>
      <w:r w:rsidR="006D2B05">
        <w:t>.</w:t>
      </w:r>
      <w:r w:rsidR="008D38E3">
        <w:rPr>
          <w:rStyle w:val="Znakapoznpodarou"/>
        </w:rPr>
        <w:footnoteReference w:id="15"/>
      </w:r>
    </w:p>
    <w:p w14:paraId="6F826D3E" w14:textId="28BC4A6D" w:rsidR="00F41E6B" w:rsidRDefault="00DB1B32" w:rsidP="00EA33B5">
      <w:pPr>
        <w:pStyle w:val="Nadpis3"/>
      </w:pPr>
      <w:bookmarkStart w:id="22" w:name="_Toc157593054"/>
      <w:r>
        <w:t>5.1</w:t>
      </w:r>
      <w:r w:rsidR="00EA33B5">
        <w:t xml:space="preserve">a) </w:t>
      </w:r>
      <w:r w:rsidR="00F41E6B">
        <w:t xml:space="preserve">Vykazování podle Pravidel podpory </w:t>
      </w:r>
      <w:proofErr w:type="spellStart"/>
      <w:r w:rsidR="00F41E6B">
        <w:t>nízkoemisních</w:t>
      </w:r>
      <w:proofErr w:type="spellEnd"/>
      <w:r w:rsidR="00F41E6B">
        <w:t xml:space="preserve"> vozidel </w:t>
      </w:r>
      <w:r w:rsidR="005677B4">
        <w:t>versus vykazování podle ZPNV</w:t>
      </w:r>
      <w:bookmarkEnd w:id="22"/>
    </w:p>
    <w:p w14:paraId="27B50C94" w14:textId="7AEE5116" w:rsidR="003B60E2" w:rsidRDefault="00F41E6B" w:rsidP="00F41E6B">
      <w:pPr>
        <w:jc w:val="both"/>
      </w:pPr>
      <w:r>
        <w:t xml:space="preserve">Vzhledem k tomu, že vydání zákona se zpozdilo oproti transpoziční lhůtě směrnice, tak bylo vydáno usnesení vlády </w:t>
      </w:r>
      <w:r w:rsidRPr="00F41E6B">
        <w:t>č. 685 ze dne 26. července 2021</w:t>
      </w:r>
      <w:r w:rsidR="00EA33B5">
        <w:t xml:space="preserve">. </w:t>
      </w:r>
      <w:r w:rsidR="00EA33B5" w:rsidRPr="00457606">
        <w:rPr>
          <w:b/>
        </w:rPr>
        <w:t>Tímto usnesením</w:t>
      </w:r>
      <w:r w:rsidR="00CE6E84">
        <w:rPr>
          <w:b/>
        </w:rPr>
        <w:t xml:space="preserve"> vlády</w:t>
      </w:r>
      <w:r w:rsidR="00EA33B5" w:rsidRPr="00457606">
        <w:rPr>
          <w:b/>
        </w:rPr>
        <w:t xml:space="preserve"> byla s účinností od 2. srpna</w:t>
      </w:r>
      <w:r w:rsidRPr="00457606">
        <w:rPr>
          <w:b/>
        </w:rPr>
        <w:t xml:space="preserve"> 2021 zavedena </w:t>
      </w:r>
      <w:r w:rsidRPr="00457606">
        <w:rPr>
          <w:b/>
          <w:i/>
        </w:rPr>
        <w:t xml:space="preserve">Pravidla podpory </w:t>
      </w:r>
      <w:proofErr w:type="spellStart"/>
      <w:r w:rsidRPr="00457606">
        <w:rPr>
          <w:b/>
          <w:i/>
        </w:rPr>
        <w:t>nízkoemisních</w:t>
      </w:r>
      <w:proofErr w:type="spellEnd"/>
      <w:r w:rsidRPr="00457606">
        <w:rPr>
          <w:b/>
          <w:i/>
        </w:rPr>
        <w:t xml:space="preserve"> vozidel prostřednictvím zadávání veřejných zakázek a veřejných služeb v přepravě cestujících</w:t>
      </w:r>
      <w:r w:rsidRPr="00457606">
        <w:rPr>
          <w:b/>
        </w:rPr>
        <w:t xml:space="preserve"> (dále jen „</w:t>
      </w:r>
      <w:r w:rsidRPr="00EA33B5">
        <w:rPr>
          <w:b/>
        </w:rPr>
        <w:t xml:space="preserve">Pravidla podpory </w:t>
      </w:r>
      <w:proofErr w:type="spellStart"/>
      <w:r w:rsidRPr="00EA33B5">
        <w:rPr>
          <w:b/>
        </w:rPr>
        <w:t>nízkoemisních</w:t>
      </w:r>
      <w:proofErr w:type="spellEnd"/>
      <w:r w:rsidRPr="00EA33B5">
        <w:rPr>
          <w:b/>
        </w:rPr>
        <w:t xml:space="preserve"> vozidel</w:t>
      </w:r>
      <w:r>
        <w:t>“)</w:t>
      </w:r>
      <w:r w:rsidR="003B60E2">
        <w:t xml:space="preserve">. Vykazování počtů vozidel pro účely Pravidel podpory </w:t>
      </w:r>
      <w:proofErr w:type="spellStart"/>
      <w:r w:rsidR="003B60E2">
        <w:t>nízkoemisních</w:t>
      </w:r>
      <w:proofErr w:type="spellEnd"/>
      <w:r w:rsidR="003B60E2">
        <w:t xml:space="preserve"> vozide</w:t>
      </w:r>
      <w:r w:rsidR="008732FD">
        <w:t xml:space="preserve">l tak již </w:t>
      </w:r>
      <w:r w:rsidR="001D5BA8">
        <w:t>od srpna 2021</w:t>
      </w:r>
      <w:r w:rsidR="008732FD">
        <w:t xml:space="preserve"> probíhá </w:t>
      </w:r>
      <w:r w:rsidR="001D5BA8">
        <w:t>a nadále i poté, co ZPNV vstoupil</w:t>
      </w:r>
      <w:r w:rsidR="008732FD">
        <w:t xml:space="preserve"> v účinnost, tak bude probíhat, neboť především např. na základě rámcových </w:t>
      </w:r>
      <w:r w:rsidR="00CE50E4">
        <w:t xml:space="preserve">dohod </w:t>
      </w:r>
      <w:r w:rsidR="008732FD">
        <w:t xml:space="preserve">zavedených podle Pravidel podpory </w:t>
      </w:r>
      <w:proofErr w:type="spellStart"/>
      <w:r w:rsidR="008732FD">
        <w:t>nízkoemisních</w:t>
      </w:r>
      <w:proofErr w:type="spellEnd"/>
      <w:r w:rsidR="008732FD">
        <w:t xml:space="preserve"> vozidel budou zadávány veřejné zakázky, které budou</w:t>
      </w:r>
      <w:r w:rsidR="00EA33B5">
        <w:t xml:space="preserve"> i nadále</w:t>
      </w:r>
      <w:r w:rsidR="008732FD">
        <w:t xml:space="preserve"> spadat do působnosti Pravidel podpory </w:t>
      </w:r>
      <w:proofErr w:type="spellStart"/>
      <w:r w:rsidR="008732FD">
        <w:t>nízkoemisních</w:t>
      </w:r>
      <w:proofErr w:type="spellEnd"/>
      <w:r w:rsidR="008732FD">
        <w:t xml:space="preserve"> vozidel. </w:t>
      </w:r>
    </w:p>
    <w:p w14:paraId="0CC18668" w14:textId="66342293" w:rsidR="008732FD" w:rsidRDefault="00445BC0" w:rsidP="00F41E6B">
      <w:pPr>
        <w:jc w:val="both"/>
      </w:pPr>
      <w:r>
        <w:t xml:space="preserve">Aby mohlo </w:t>
      </w:r>
      <w:r w:rsidR="001D5BA8">
        <w:t xml:space="preserve">současně probíhat vykazování podle Pravidel podpory </w:t>
      </w:r>
      <w:proofErr w:type="spellStart"/>
      <w:r w:rsidR="001D5BA8">
        <w:t>nízkoemisních</w:t>
      </w:r>
      <w:proofErr w:type="spellEnd"/>
      <w:r w:rsidR="001D5BA8">
        <w:t xml:space="preserve"> vozidel</w:t>
      </w:r>
      <w:r>
        <w:t xml:space="preserve"> i podle ZPNV, </w:t>
      </w:r>
      <w:r w:rsidR="001D5BA8">
        <w:t>tak z</w:t>
      </w:r>
      <w:r w:rsidR="000F758B">
        <w:t>adavatel</w:t>
      </w:r>
      <w:r w:rsidR="001D5BA8">
        <w:t xml:space="preserve"> </w:t>
      </w:r>
      <w:r w:rsidR="000F758B">
        <w:t xml:space="preserve">označí volbu, že </w:t>
      </w:r>
      <w:r w:rsidR="000F758B" w:rsidRPr="000F758B">
        <w:rPr>
          <w:b/>
        </w:rPr>
        <w:t>zakázka spadá do působnosti</w:t>
      </w:r>
      <w:r w:rsidR="008732FD">
        <w:t xml:space="preserve"> </w:t>
      </w:r>
      <w:r w:rsidR="008732FD" w:rsidRPr="00AB649D">
        <w:rPr>
          <w:b/>
        </w:rPr>
        <w:t>ZPNV</w:t>
      </w:r>
      <w:r w:rsidR="00482FBD">
        <w:rPr>
          <w:b/>
        </w:rPr>
        <w:t xml:space="preserve"> nebo </w:t>
      </w:r>
      <w:r w:rsidR="008732FD" w:rsidRPr="00AB649D">
        <w:rPr>
          <w:b/>
        </w:rPr>
        <w:t xml:space="preserve">Pravidel podpory </w:t>
      </w:r>
      <w:proofErr w:type="spellStart"/>
      <w:r w:rsidR="008732FD" w:rsidRPr="00AB649D">
        <w:rPr>
          <w:b/>
        </w:rPr>
        <w:t>nízkoemisních</w:t>
      </w:r>
      <w:proofErr w:type="spellEnd"/>
      <w:r w:rsidR="008732FD" w:rsidRPr="00AB649D">
        <w:rPr>
          <w:b/>
        </w:rPr>
        <w:t xml:space="preserve"> vozidel</w:t>
      </w:r>
      <w:r w:rsidR="00352536">
        <w:t>.</w:t>
      </w:r>
      <w:r w:rsidR="008732FD">
        <w:t xml:space="preserve"> </w:t>
      </w:r>
      <w:r w:rsidR="00352536">
        <w:t xml:space="preserve"> </w:t>
      </w:r>
      <w:r w:rsidR="000D637D">
        <w:t>Rozlišení</w:t>
      </w:r>
      <w:r w:rsidR="00352536">
        <w:t xml:space="preserve">, zda se jedná o vykazování </w:t>
      </w:r>
      <w:r w:rsidR="000D637D">
        <w:t xml:space="preserve">ještě </w:t>
      </w:r>
      <w:r w:rsidR="00352536">
        <w:t xml:space="preserve">podle Pravidel podpory </w:t>
      </w:r>
      <w:proofErr w:type="spellStart"/>
      <w:r w:rsidR="00352536">
        <w:t>nízkoemisních</w:t>
      </w:r>
      <w:proofErr w:type="spellEnd"/>
      <w:r w:rsidR="00352536">
        <w:t xml:space="preserve"> vozidel nebo</w:t>
      </w:r>
      <w:r w:rsidR="000D637D">
        <w:t xml:space="preserve"> již podle</w:t>
      </w:r>
      <w:r w:rsidR="00352536">
        <w:t xml:space="preserve"> ZPNV bude </w:t>
      </w:r>
      <w:r w:rsidR="00B855B5">
        <w:t xml:space="preserve">v systému </w:t>
      </w:r>
      <w:r w:rsidR="00352536">
        <w:t xml:space="preserve">provedeno na základě </w:t>
      </w:r>
      <w:r w:rsidR="00B855B5">
        <w:t>propojení s datem</w:t>
      </w:r>
      <w:r w:rsidR="00352536">
        <w:t xml:space="preserve"> zahájení zadávacího řízení (u VZ zadaných na základě RD nebo DNS na základě data zahájení zadávacího řízení na zavedení této RD či DNS).</w:t>
      </w:r>
    </w:p>
    <w:p w14:paraId="4E08B52A" w14:textId="321246AA" w:rsidR="00CA2F02" w:rsidRDefault="00CA2F02" w:rsidP="00CA2F02">
      <w:pPr>
        <w:jc w:val="both"/>
      </w:pPr>
      <w:r>
        <w:t xml:space="preserve">Na základě přechodných ustanovení ZPNV a Pravidel podpory </w:t>
      </w:r>
      <w:proofErr w:type="spellStart"/>
      <w:r>
        <w:t>nízkoemisních</w:t>
      </w:r>
      <w:proofErr w:type="spellEnd"/>
      <w:r>
        <w:t xml:space="preserve"> vozidel</w:t>
      </w:r>
      <w:r w:rsidR="00B86907">
        <w:t xml:space="preserve"> (Pravidel)</w:t>
      </w:r>
      <w:r>
        <w:t xml:space="preserve"> lze působnost ZPNV a </w:t>
      </w:r>
      <w:r w:rsidR="002D01BC">
        <w:t xml:space="preserve">jemu předcházejících </w:t>
      </w:r>
      <w:r>
        <w:t>Pravidel</w:t>
      </w:r>
      <w:r w:rsidR="00B86907">
        <w:t xml:space="preserve"> </w:t>
      </w:r>
      <w:r>
        <w:t>shrnout</w:t>
      </w:r>
      <w:r w:rsidR="008F66C1">
        <w:t xml:space="preserve"> u veřejných zakázek</w:t>
      </w:r>
      <w:r>
        <w:t xml:space="preserve"> následujícím způsobem:</w:t>
      </w:r>
    </w:p>
    <w:tbl>
      <w:tblPr>
        <w:tblStyle w:val="Mkatabulky"/>
        <w:tblW w:w="0" w:type="auto"/>
        <w:tblLook w:val="04A0" w:firstRow="1" w:lastRow="0" w:firstColumn="1" w:lastColumn="0" w:noHBand="0" w:noVBand="1"/>
      </w:tblPr>
      <w:tblGrid>
        <w:gridCol w:w="2972"/>
        <w:gridCol w:w="2268"/>
        <w:gridCol w:w="1843"/>
        <w:gridCol w:w="1979"/>
      </w:tblGrid>
      <w:tr w:rsidR="00307E3A" w14:paraId="7C68060D" w14:textId="77777777" w:rsidTr="00BB418E">
        <w:tc>
          <w:tcPr>
            <w:tcW w:w="2972" w:type="dxa"/>
          </w:tcPr>
          <w:p w14:paraId="4B39AF3A" w14:textId="1005F774" w:rsidR="00307E3A" w:rsidRPr="00B86907" w:rsidRDefault="00B86907" w:rsidP="00CA2F02">
            <w:pPr>
              <w:jc w:val="both"/>
              <w:rPr>
                <w:b/>
              </w:rPr>
            </w:pPr>
            <w:r w:rsidRPr="00B86907">
              <w:rPr>
                <w:b/>
              </w:rPr>
              <w:t>Proces předcházející uzavření smlouvy</w:t>
            </w:r>
          </w:p>
        </w:tc>
        <w:tc>
          <w:tcPr>
            <w:tcW w:w="2268" w:type="dxa"/>
          </w:tcPr>
          <w:p w14:paraId="7F043476" w14:textId="1CEA9648" w:rsidR="00307E3A" w:rsidRPr="00B86907" w:rsidRDefault="00B86907" w:rsidP="00B86907">
            <w:pPr>
              <w:jc w:val="both"/>
              <w:rPr>
                <w:b/>
              </w:rPr>
            </w:pPr>
            <w:r w:rsidRPr="00B86907">
              <w:rPr>
                <w:b/>
              </w:rPr>
              <w:t>Nespadá ani pod Pravidla ani pod ZPNV</w:t>
            </w:r>
          </w:p>
        </w:tc>
        <w:tc>
          <w:tcPr>
            <w:tcW w:w="1843" w:type="dxa"/>
          </w:tcPr>
          <w:p w14:paraId="5F5D7E63" w14:textId="5AB387E8" w:rsidR="00307E3A" w:rsidRPr="00B86907" w:rsidRDefault="00B86907" w:rsidP="00B86907">
            <w:pPr>
              <w:jc w:val="both"/>
              <w:rPr>
                <w:b/>
              </w:rPr>
            </w:pPr>
            <w:r w:rsidRPr="00B86907">
              <w:rPr>
                <w:b/>
              </w:rPr>
              <w:t xml:space="preserve">Působnost </w:t>
            </w:r>
            <w:r>
              <w:rPr>
                <w:b/>
              </w:rPr>
              <w:t>Pravidel</w:t>
            </w:r>
          </w:p>
        </w:tc>
        <w:tc>
          <w:tcPr>
            <w:tcW w:w="1979" w:type="dxa"/>
          </w:tcPr>
          <w:p w14:paraId="20C68EFB" w14:textId="77D8E736" w:rsidR="00307E3A" w:rsidRPr="00B86907" w:rsidRDefault="00B86907" w:rsidP="00CA2F02">
            <w:pPr>
              <w:jc w:val="both"/>
              <w:rPr>
                <w:b/>
              </w:rPr>
            </w:pPr>
            <w:r w:rsidRPr="00B86907">
              <w:rPr>
                <w:b/>
              </w:rPr>
              <w:t>Působnost ZPNV</w:t>
            </w:r>
          </w:p>
        </w:tc>
      </w:tr>
      <w:tr w:rsidR="00307E3A" w14:paraId="097A6D77" w14:textId="77777777" w:rsidTr="00BB418E">
        <w:tc>
          <w:tcPr>
            <w:tcW w:w="2972" w:type="dxa"/>
          </w:tcPr>
          <w:p w14:paraId="3DBD1CE1" w14:textId="0BBF94F5" w:rsidR="00307E3A" w:rsidRDefault="00B86907" w:rsidP="00CA2F02">
            <w:pPr>
              <w:jc w:val="both"/>
            </w:pPr>
            <w:r>
              <w:lastRenderedPageBreak/>
              <w:t>Zahájení</w:t>
            </w:r>
            <w:r w:rsidR="002D01BC">
              <w:t xml:space="preserve"> „</w:t>
            </w:r>
            <w:r>
              <w:t>klasického</w:t>
            </w:r>
            <w:r w:rsidR="002D01BC">
              <w:t>“</w:t>
            </w:r>
            <w:r>
              <w:t xml:space="preserve"> zadávacího řízení na zadání VZ</w:t>
            </w:r>
          </w:p>
        </w:tc>
        <w:tc>
          <w:tcPr>
            <w:tcW w:w="2268" w:type="dxa"/>
          </w:tcPr>
          <w:p w14:paraId="1B09BCD5" w14:textId="2DD3B21A" w:rsidR="00307E3A" w:rsidRDefault="00B86907" w:rsidP="00CA2F02">
            <w:pPr>
              <w:jc w:val="both"/>
            </w:pPr>
            <w:r>
              <w:t>před 2. srpnem 2021</w:t>
            </w:r>
          </w:p>
        </w:tc>
        <w:tc>
          <w:tcPr>
            <w:tcW w:w="1843" w:type="dxa"/>
            <w:shd w:val="clear" w:color="auto" w:fill="auto"/>
          </w:tcPr>
          <w:p w14:paraId="5F9DE9BB" w14:textId="2DAC97ED" w:rsidR="00307E3A" w:rsidRDefault="00B86907" w:rsidP="00CA2F02">
            <w:pPr>
              <w:jc w:val="both"/>
            </w:pPr>
            <w:r>
              <w:t>od 2. srpna 2021</w:t>
            </w:r>
          </w:p>
        </w:tc>
        <w:tc>
          <w:tcPr>
            <w:tcW w:w="1979" w:type="dxa"/>
            <w:shd w:val="clear" w:color="auto" w:fill="auto"/>
          </w:tcPr>
          <w:p w14:paraId="481C872C" w14:textId="2432D473" w:rsidR="00307E3A" w:rsidRPr="00BB418E" w:rsidRDefault="00F03176" w:rsidP="00CA2F02">
            <w:pPr>
              <w:jc w:val="both"/>
            </w:pPr>
            <w:r w:rsidRPr="00BB418E">
              <w:t>od 1. prosince 2022</w:t>
            </w:r>
          </w:p>
        </w:tc>
      </w:tr>
      <w:tr w:rsidR="00307E3A" w14:paraId="07F2E487" w14:textId="77777777" w:rsidTr="00BB418E">
        <w:tc>
          <w:tcPr>
            <w:tcW w:w="2972" w:type="dxa"/>
          </w:tcPr>
          <w:p w14:paraId="38C636D6" w14:textId="773BA61D" w:rsidR="00307E3A" w:rsidRDefault="00B86907" w:rsidP="00CA2F02">
            <w:pPr>
              <w:jc w:val="both"/>
            </w:pPr>
            <w:r>
              <w:t>Zahájení zadávacího řízení na uzavření RD či DNS*</w:t>
            </w:r>
          </w:p>
        </w:tc>
        <w:tc>
          <w:tcPr>
            <w:tcW w:w="2268" w:type="dxa"/>
          </w:tcPr>
          <w:p w14:paraId="273289F5" w14:textId="23A92D7F" w:rsidR="00307E3A" w:rsidRDefault="00B86907" w:rsidP="00CA2F02">
            <w:pPr>
              <w:jc w:val="both"/>
            </w:pPr>
            <w:r>
              <w:t>před 2. srpnem 2021</w:t>
            </w:r>
          </w:p>
        </w:tc>
        <w:tc>
          <w:tcPr>
            <w:tcW w:w="1843" w:type="dxa"/>
          </w:tcPr>
          <w:p w14:paraId="58E34A27" w14:textId="7B5AACA1" w:rsidR="00307E3A" w:rsidRDefault="00B86907" w:rsidP="00CA2F02">
            <w:pPr>
              <w:jc w:val="both"/>
            </w:pPr>
            <w:r>
              <w:t>od 2. srpna 2021</w:t>
            </w:r>
          </w:p>
        </w:tc>
        <w:tc>
          <w:tcPr>
            <w:tcW w:w="1979" w:type="dxa"/>
          </w:tcPr>
          <w:p w14:paraId="22A0A551" w14:textId="16FB0B92" w:rsidR="00307E3A" w:rsidRDefault="00F03176" w:rsidP="00CA2F02">
            <w:pPr>
              <w:jc w:val="both"/>
            </w:pPr>
            <w:r>
              <w:t>od 1. prosince 2022</w:t>
            </w:r>
          </w:p>
        </w:tc>
      </w:tr>
    </w:tbl>
    <w:p w14:paraId="64060011" w14:textId="4DA7B456" w:rsidR="00B86907" w:rsidRDefault="00B86907" w:rsidP="00B86907">
      <w:pPr>
        <w:pStyle w:val="Odstavecseseznamem"/>
        <w:jc w:val="both"/>
      </w:pPr>
      <w:r>
        <w:t>*</w:t>
      </w:r>
      <w:r w:rsidRPr="00B86907">
        <w:t xml:space="preserve"> </w:t>
      </w:r>
      <w:r>
        <w:t xml:space="preserve">Počty vozidel </w:t>
      </w:r>
      <w:r w:rsidR="002D01BC">
        <w:t xml:space="preserve">se vykazují až u </w:t>
      </w:r>
      <w:r w:rsidR="00457606">
        <w:t xml:space="preserve">smluv uzavřených na </w:t>
      </w:r>
      <w:r w:rsidR="002D01BC">
        <w:t xml:space="preserve">VZ </w:t>
      </w:r>
      <w:r w:rsidR="00457606">
        <w:t>zadané</w:t>
      </w:r>
      <w:r w:rsidR="002D01BC">
        <w:t xml:space="preserve"> n</w:t>
      </w:r>
      <w:r>
        <w:t>a základě těchto RD či DNS</w:t>
      </w:r>
    </w:p>
    <w:p w14:paraId="39A56654" w14:textId="70832CC8" w:rsidR="00445BC0" w:rsidRDefault="00445BC0" w:rsidP="00445BC0">
      <w:pPr>
        <w:jc w:val="both"/>
      </w:pPr>
      <w:r>
        <w:t xml:space="preserve">Při této příležitosti je potřeba zmínit, že </w:t>
      </w:r>
      <w:r w:rsidRPr="001536BB">
        <w:rPr>
          <w:b/>
          <w:u w:val="single"/>
        </w:rPr>
        <w:t xml:space="preserve">přechodná ustanovení ZPNV umožňují, aby zadavatelé a objednatelé, kteří od účinnosti Pravidel podpory </w:t>
      </w:r>
      <w:proofErr w:type="spellStart"/>
      <w:r w:rsidRPr="001536BB">
        <w:rPr>
          <w:b/>
          <w:u w:val="single"/>
        </w:rPr>
        <w:t>nízkoemisních</w:t>
      </w:r>
      <w:proofErr w:type="spellEnd"/>
      <w:r w:rsidRPr="001536BB">
        <w:rPr>
          <w:b/>
          <w:u w:val="single"/>
        </w:rPr>
        <w:t xml:space="preserve"> vozidel, tedy od 2. srpna 2</w:t>
      </w:r>
      <w:r w:rsidR="001536BB">
        <w:rPr>
          <w:b/>
          <w:u w:val="single"/>
        </w:rPr>
        <w:t>021 jednají v souladu s těmito P</w:t>
      </w:r>
      <w:r w:rsidRPr="001536BB">
        <w:rPr>
          <w:b/>
          <w:u w:val="single"/>
        </w:rPr>
        <w:t xml:space="preserve">ravidly, tedy pořizují a vykazují </w:t>
      </w:r>
      <w:proofErr w:type="spellStart"/>
      <w:r w:rsidRPr="001536BB">
        <w:rPr>
          <w:b/>
          <w:u w:val="single"/>
        </w:rPr>
        <w:t>nízkoemisní</w:t>
      </w:r>
      <w:proofErr w:type="spellEnd"/>
      <w:r w:rsidRPr="001536BB">
        <w:rPr>
          <w:b/>
          <w:u w:val="single"/>
        </w:rPr>
        <w:t xml:space="preserve"> vozidla, mohli zaž</w:t>
      </w:r>
      <w:r w:rsidR="008074D7" w:rsidRPr="001536BB">
        <w:rPr>
          <w:b/>
          <w:u w:val="single"/>
        </w:rPr>
        <w:t>ádat o započítání podle těchto P</w:t>
      </w:r>
      <w:r w:rsidRPr="001536BB">
        <w:rPr>
          <w:b/>
          <w:u w:val="single"/>
        </w:rPr>
        <w:t xml:space="preserve">ravidel dosažených podílů </w:t>
      </w:r>
      <w:proofErr w:type="spellStart"/>
      <w:r w:rsidRPr="001536BB">
        <w:rPr>
          <w:b/>
          <w:u w:val="single"/>
        </w:rPr>
        <w:t>nízkoemisních</w:t>
      </w:r>
      <w:proofErr w:type="spellEnd"/>
      <w:r w:rsidRPr="001536BB">
        <w:rPr>
          <w:b/>
          <w:u w:val="single"/>
        </w:rPr>
        <w:t xml:space="preserve"> vozidel do podílů, kterých v prvním sledovaném období dosáhnou podle ZPNV (viz § 13 odst. 3 až 5 ZPNV)</w:t>
      </w:r>
      <w:r>
        <w:t xml:space="preserve">. </w:t>
      </w:r>
      <w:r w:rsidR="00EB06B3">
        <w:t xml:space="preserve">V takovém případě se jim budou počítat podíly </w:t>
      </w:r>
      <w:proofErr w:type="spellStart"/>
      <w:r w:rsidR="00EB06B3">
        <w:t>nízkoemisních</w:t>
      </w:r>
      <w:proofErr w:type="spellEnd"/>
      <w:r w:rsidR="00EB06B3">
        <w:t xml:space="preserve"> vozidel již od 2. srpna 2021.</w:t>
      </w:r>
      <w:r w:rsidR="001536BB">
        <w:t xml:space="preserve"> Výhodný bude tento postup pro ty zadavatele a objednatele, kteří podle Pravidel podpory </w:t>
      </w:r>
      <w:proofErr w:type="spellStart"/>
      <w:r w:rsidR="001536BB">
        <w:t>nízkoemisních</w:t>
      </w:r>
      <w:proofErr w:type="spellEnd"/>
      <w:r w:rsidR="001536BB">
        <w:t xml:space="preserve"> vozidel dosáhli větších než jen minimálních podílů a chtějí, aby jim podle těchto Pravidel vykázaná vozidla byla pro účely výpočtu podílů </w:t>
      </w:r>
      <w:proofErr w:type="spellStart"/>
      <w:r w:rsidR="001536BB">
        <w:t>nízkoemisních</w:t>
      </w:r>
      <w:proofErr w:type="spellEnd"/>
      <w:r w:rsidR="001536BB">
        <w:t xml:space="preserve"> vozidel podle ZPNV v prvním sledovaném období započítána.</w:t>
      </w:r>
    </w:p>
    <w:p w14:paraId="4F2FFD8C" w14:textId="4D013F2E" w:rsidR="00307E3A" w:rsidRDefault="00307E3A" w:rsidP="00CA2F02">
      <w:pPr>
        <w:jc w:val="both"/>
      </w:pPr>
    </w:p>
    <w:p w14:paraId="2905116B" w14:textId="5BACBB26" w:rsidR="00EA33B5" w:rsidRDefault="00DB1B32" w:rsidP="00EA33B5">
      <w:pPr>
        <w:pStyle w:val="Nadpis3"/>
      </w:pPr>
      <w:bookmarkStart w:id="23" w:name="_Toc157593055"/>
      <w:r>
        <w:t>5.1</w:t>
      </w:r>
      <w:r w:rsidR="00EA33B5">
        <w:t>b)</w:t>
      </w:r>
      <w:r w:rsidR="00EA33B5">
        <w:tab/>
        <w:t>Vykazování centrálním zadavatelem</w:t>
      </w:r>
      <w:bookmarkEnd w:id="23"/>
    </w:p>
    <w:p w14:paraId="427A02AC" w14:textId="5CFF4BF6" w:rsidR="00EA33B5" w:rsidRDefault="00EA33B5" w:rsidP="00EA33B5">
      <w:pPr>
        <w:jc w:val="both"/>
      </w:pPr>
      <w:r>
        <w:t xml:space="preserve">V případě, že vykazování provádí v souladu s § 7 odst. 2 ZPNV za </w:t>
      </w:r>
      <w:r w:rsidR="00CA2F02">
        <w:t>jednotlivé</w:t>
      </w:r>
      <w:r>
        <w:t xml:space="preserve"> zadavatele </w:t>
      </w:r>
      <w:r w:rsidR="00CA2F02">
        <w:t xml:space="preserve">účastnící se centralizovaného zadávání </w:t>
      </w:r>
      <w:r>
        <w:t xml:space="preserve">centrální zadavatel, </w:t>
      </w:r>
      <w:r w:rsidR="00CA2F02">
        <w:t xml:space="preserve">tak </w:t>
      </w:r>
      <w:r w:rsidR="00CA2F02" w:rsidRPr="00CA2F02">
        <w:rPr>
          <w:b/>
        </w:rPr>
        <w:t xml:space="preserve">v žádosti o uveřejnění </w:t>
      </w:r>
      <w:r w:rsidR="001536BB">
        <w:rPr>
          <w:b/>
        </w:rPr>
        <w:t>výsledkového formuláře</w:t>
      </w:r>
      <w:r w:rsidR="00CA2F02" w:rsidRPr="00CA2F02">
        <w:rPr>
          <w:b/>
        </w:rPr>
        <w:t xml:space="preserve"> zatrhne políčko, že</w:t>
      </w:r>
      <w:r w:rsidRPr="00CA2F02">
        <w:rPr>
          <w:b/>
        </w:rPr>
        <w:t xml:space="preserve"> se jedná o centrálního zadavatele</w:t>
      </w:r>
      <w:r w:rsidR="00CA2F02" w:rsidRPr="00CA2F02">
        <w:rPr>
          <w:b/>
        </w:rPr>
        <w:t xml:space="preserve"> </w:t>
      </w:r>
      <w:r w:rsidR="00CA2F02">
        <w:t>a následně se mu objeví</w:t>
      </w:r>
      <w:r>
        <w:t xml:space="preserve"> vykazovací pole, která </w:t>
      </w:r>
      <w:r w:rsidR="00CA2F02">
        <w:t>mu</w:t>
      </w:r>
      <w:r>
        <w:t xml:space="preserve"> umožní vykázat počty vozidel za jednotlivé zadavatele. </w:t>
      </w:r>
    </w:p>
    <w:p w14:paraId="5DC5614A" w14:textId="51132B97" w:rsidR="00EA33B5" w:rsidRDefault="00EA33B5" w:rsidP="00EA33B5">
      <w:pPr>
        <w:pStyle w:val="Nadpis2"/>
      </w:pPr>
      <w:bookmarkStart w:id="24" w:name="_Toc157593056"/>
      <w:r>
        <w:t>5.2. Vykazování u veřejných služeb v přepravě cestujících (které nejsou veřejnými zakázkami)</w:t>
      </w:r>
      <w:bookmarkEnd w:id="24"/>
    </w:p>
    <w:p w14:paraId="783247CB" w14:textId="2886CD97" w:rsidR="00EA33B5" w:rsidRDefault="00EA33B5" w:rsidP="00EA33B5">
      <w:pPr>
        <w:jc w:val="both"/>
      </w:pPr>
      <w:r>
        <w:t xml:space="preserve">U veřejných služeb v přepravě cestujících podle zákona o veřejných službách v přepravě cestujících (§ 2 odst. 1 písm. c) ZPNV), tedy těch, které nejsou zadávány jako veřejné zakázky podle § 2 odst. 1 písm. b) ZPNV, bude vykazování probíhat odlišným způsobem. </w:t>
      </w:r>
      <w:r w:rsidRPr="0054034D">
        <w:rPr>
          <w:b/>
        </w:rPr>
        <w:t xml:space="preserve">Objednatel vykazuje plnění podílů </w:t>
      </w:r>
      <w:proofErr w:type="spellStart"/>
      <w:r w:rsidRPr="0054034D">
        <w:rPr>
          <w:b/>
        </w:rPr>
        <w:t>nízkoemisních</w:t>
      </w:r>
      <w:proofErr w:type="spellEnd"/>
      <w:r w:rsidRPr="0054034D">
        <w:rPr>
          <w:b/>
        </w:rPr>
        <w:t xml:space="preserve"> vozidel Ministerstvu dopravy, kterému předloží do 31. ledna 2026</w:t>
      </w:r>
      <w:r w:rsidR="0054034D" w:rsidRPr="0054034D">
        <w:rPr>
          <w:b/>
        </w:rPr>
        <w:t xml:space="preserve"> (a v druhém období do 31. ledna 2031)</w:t>
      </w:r>
      <w:r w:rsidRPr="0054034D">
        <w:rPr>
          <w:b/>
        </w:rPr>
        <w:t xml:space="preserve"> písemnou souhrnnou zprávu o plnění podílů podle § 4</w:t>
      </w:r>
      <w:r>
        <w:t>, v níž uvede seznam smluv o veřejných službách v přepravě cestujících podle § 2 odst. 1 písm. c) - tedy zadaných na základě nabídkových řízení nebo přímých zadání na základě zákona o veřejných službách v přepravě cestujících.</w:t>
      </w:r>
    </w:p>
    <w:p w14:paraId="3BF936E0" w14:textId="6DA249B2" w:rsidR="00EA33B5" w:rsidRPr="00FA4B6C" w:rsidRDefault="00EA33B5" w:rsidP="00EA33B5">
      <w:pPr>
        <w:jc w:val="both"/>
        <w:rPr>
          <w:b/>
        </w:rPr>
      </w:pPr>
      <w:r>
        <w:t xml:space="preserve">ZPNV stanoví v § 7 odst. 4 a 5 informace, které objednatel povinně v této písemné zprávě uvede. </w:t>
      </w:r>
      <w:r w:rsidRPr="00FA4B6C">
        <w:rPr>
          <w:b/>
        </w:rPr>
        <w:t>Zprávu nepředkládá objednatel za období, ve kterém nebyla žádná smlouva</w:t>
      </w:r>
      <w:r w:rsidR="008F66C1" w:rsidRPr="00FA4B6C">
        <w:rPr>
          <w:b/>
        </w:rPr>
        <w:t xml:space="preserve"> spadající do působnosti ZPNV</w:t>
      </w:r>
      <w:r w:rsidRPr="00FA4B6C">
        <w:rPr>
          <w:b/>
        </w:rPr>
        <w:t xml:space="preserve"> uzavřena.</w:t>
      </w:r>
    </w:p>
    <w:p w14:paraId="62BAFA3A" w14:textId="213C79D4" w:rsidR="00EA33B5" w:rsidRDefault="00EA33B5" w:rsidP="00EA33B5">
      <w:pPr>
        <w:jc w:val="both"/>
        <w:rPr>
          <w:b/>
        </w:rPr>
      </w:pPr>
      <w:r>
        <w:t xml:space="preserve">Upozorňujeme objednatele, aby při přípravě písemné zprávy nezapomínali na přechodná ustanovení obsažená v § 13 odst. 2 ZPNV: Do působnosti ZPNV nespadají smlouvy uzavřené na veřejné služby v přepravě cestujících, u kterých bylo nabídkové řízení zahájeno přede dnem nabytí účinnosti ZPNV, nebo u nichž bylo jednání s dopravcem o přímém zadání zahájeno přede dnem nabytí účinnosti ZPNV. </w:t>
      </w:r>
      <w:r w:rsidRPr="0054034D">
        <w:rPr>
          <w:b/>
        </w:rPr>
        <w:t xml:space="preserve">Pokud bude objednatel chtít uznat podíly </w:t>
      </w:r>
      <w:proofErr w:type="spellStart"/>
      <w:r w:rsidRPr="0054034D">
        <w:rPr>
          <w:b/>
        </w:rPr>
        <w:t>nízkoemisních</w:t>
      </w:r>
      <w:proofErr w:type="spellEnd"/>
      <w:r w:rsidRPr="0054034D">
        <w:rPr>
          <w:b/>
        </w:rPr>
        <w:t xml:space="preserve"> vozidel dosažené podle Pravidel podpory </w:t>
      </w:r>
      <w:proofErr w:type="spellStart"/>
      <w:r w:rsidRPr="0054034D">
        <w:rPr>
          <w:b/>
        </w:rPr>
        <w:t>nízkoemisních</w:t>
      </w:r>
      <w:proofErr w:type="spellEnd"/>
      <w:r w:rsidRPr="0054034D">
        <w:rPr>
          <w:b/>
        </w:rPr>
        <w:t xml:space="preserve"> vozidel, uvede v písemné zprávě i smlouvy uzavřené na základě nabídkových řízení či </w:t>
      </w:r>
      <w:r w:rsidRPr="0054034D">
        <w:rPr>
          <w:b/>
        </w:rPr>
        <w:lastRenderedPageBreak/>
        <w:t>přímých zadání, u kterých bylo nabídkové řízení nebo u přímých zadání jednání s dodavatelem zahájeno po 2. srpnu 2021.</w:t>
      </w:r>
    </w:p>
    <w:p w14:paraId="18115AA4" w14:textId="22F251F6" w:rsidR="0033772B" w:rsidRDefault="0033772B" w:rsidP="0033772B">
      <w:pPr>
        <w:jc w:val="both"/>
      </w:pPr>
      <w:r>
        <w:t xml:space="preserve">Na základě přechodných ustanovení ZPNV a Pravidel podpory </w:t>
      </w:r>
      <w:proofErr w:type="spellStart"/>
      <w:r>
        <w:t>nízkoemisních</w:t>
      </w:r>
      <w:proofErr w:type="spellEnd"/>
      <w:r>
        <w:t xml:space="preserve"> vozidel (Pravidel) lze působnost ZPNV a jemu předcházejících Pravidel shrnout</w:t>
      </w:r>
      <w:r w:rsidR="008F66C1">
        <w:t xml:space="preserve"> u veřejných služeb v přepravě cestujících (které nejsou veřejnou zakázkou)</w:t>
      </w:r>
      <w:r>
        <w:t xml:space="preserve"> následujícím způsobem:</w:t>
      </w:r>
    </w:p>
    <w:tbl>
      <w:tblPr>
        <w:tblStyle w:val="Mkatabulky"/>
        <w:tblW w:w="0" w:type="auto"/>
        <w:tblLook w:val="04A0" w:firstRow="1" w:lastRow="0" w:firstColumn="1" w:lastColumn="0" w:noHBand="0" w:noVBand="1"/>
      </w:tblPr>
      <w:tblGrid>
        <w:gridCol w:w="2972"/>
        <w:gridCol w:w="2268"/>
        <w:gridCol w:w="1843"/>
        <w:gridCol w:w="1979"/>
      </w:tblGrid>
      <w:tr w:rsidR="0033772B" w14:paraId="191A31E1" w14:textId="77777777" w:rsidTr="00006FEB">
        <w:tc>
          <w:tcPr>
            <w:tcW w:w="2972" w:type="dxa"/>
          </w:tcPr>
          <w:p w14:paraId="6CCF08DC" w14:textId="77777777" w:rsidR="0033772B" w:rsidRPr="00B86907" w:rsidRDefault="0033772B" w:rsidP="00006FEB">
            <w:pPr>
              <w:jc w:val="both"/>
              <w:rPr>
                <w:b/>
              </w:rPr>
            </w:pPr>
            <w:r w:rsidRPr="00B86907">
              <w:rPr>
                <w:b/>
              </w:rPr>
              <w:t>Proces předcházející uzavření smlouvy</w:t>
            </w:r>
          </w:p>
        </w:tc>
        <w:tc>
          <w:tcPr>
            <w:tcW w:w="2268" w:type="dxa"/>
          </w:tcPr>
          <w:p w14:paraId="5D93E478" w14:textId="77777777" w:rsidR="0033772B" w:rsidRPr="00B86907" w:rsidRDefault="0033772B" w:rsidP="00006FEB">
            <w:pPr>
              <w:jc w:val="both"/>
              <w:rPr>
                <w:b/>
              </w:rPr>
            </w:pPr>
            <w:r w:rsidRPr="00B86907">
              <w:rPr>
                <w:b/>
              </w:rPr>
              <w:t>Nespadá ani pod Pravidla ani pod ZPNV</w:t>
            </w:r>
          </w:p>
        </w:tc>
        <w:tc>
          <w:tcPr>
            <w:tcW w:w="1843" w:type="dxa"/>
          </w:tcPr>
          <w:p w14:paraId="0DB0B5E0" w14:textId="77777777" w:rsidR="0033772B" w:rsidRPr="00B86907" w:rsidRDefault="0033772B" w:rsidP="00006FEB">
            <w:pPr>
              <w:jc w:val="both"/>
              <w:rPr>
                <w:b/>
              </w:rPr>
            </w:pPr>
            <w:r w:rsidRPr="00B86907">
              <w:rPr>
                <w:b/>
              </w:rPr>
              <w:t xml:space="preserve">Působnost </w:t>
            </w:r>
            <w:r>
              <w:rPr>
                <w:b/>
              </w:rPr>
              <w:t>Pravidel</w:t>
            </w:r>
          </w:p>
        </w:tc>
        <w:tc>
          <w:tcPr>
            <w:tcW w:w="1979" w:type="dxa"/>
          </w:tcPr>
          <w:p w14:paraId="4F3E0387" w14:textId="77777777" w:rsidR="0033772B" w:rsidRPr="00B86907" w:rsidRDefault="0033772B" w:rsidP="00006FEB">
            <w:pPr>
              <w:jc w:val="both"/>
              <w:rPr>
                <w:b/>
              </w:rPr>
            </w:pPr>
            <w:r w:rsidRPr="00B86907">
              <w:rPr>
                <w:b/>
              </w:rPr>
              <w:t>Působnost ZPNV</w:t>
            </w:r>
          </w:p>
        </w:tc>
      </w:tr>
      <w:tr w:rsidR="0033772B" w14:paraId="1B50292A" w14:textId="77777777" w:rsidTr="00006FEB">
        <w:tc>
          <w:tcPr>
            <w:tcW w:w="2972" w:type="dxa"/>
          </w:tcPr>
          <w:p w14:paraId="03283A66" w14:textId="77777777" w:rsidR="0033772B" w:rsidRDefault="0033772B" w:rsidP="00006FEB">
            <w:pPr>
              <w:jc w:val="both"/>
            </w:pPr>
            <w:r>
              <w:t>Zahájení nabídkového řízení</w:t>
            </w:r>
          </w:p>
        </w:tc>
        <w:tc>
          <w:tcPr>
            <w:tcW w:w="2268" w:type="dxa"/>
          </w:tcPr>
          <w:p w14:paraId="39551F04" w14:textId="77777777" w:rsidR="0033772B" w:rsidRDefault="0033772B" w:rsidP="00006FEB">
            <w:pPr>
              <w:jc w:val="both"/>
            </w:pPr>
            <w:r>
              <w:t>před 2. srpnem 2021</w:t>
            </w:r>
          </w:p>
        </w:tc>
        <w:tc>
          <w:tcPr>
            <w:tcW w:w="1843" w:type="dxa"/>
          </w:tcPr>
          <w:p w14:paraId="1193ACA2" w14:textId="77777777" w:rsidR="0033772B" w:rsidRDefault="0033772B" w:rsidP="00006FEB">
            <w:pPr>
              <w:jc w:val="both"/>
            </w:pPr>
            <w:r>
              <w:t>od 2. srpna 2021</w:t>
            </w:r>
          </w:p>
        </w:tc>
        <w:tc>
          <w:tcPr>
            <w:tcW w:w="1979" w:type="dxa"/>
          </w:tcPr>
          <w:p w14:paraId="6952749A" w14:textId="77777777" w:rsidR="0033772B" w:rsidRDefault="0033772B" w:rsidP="00006FEB">
            <w:pPr>
              <w:jc w:val="both"/>
            </w:pPr>
            <w:r>
              <w:t>od 1. prosince 2022</w:t>
            </w:r>
          </w:p>
        </w:tc>
      </w:tr>
      <w:tr w:rsidR="0033772B" w14:paraId="3E14DCA8" w14:textId="77777777" w:rsidTr="00006FEB">
        <w:tc>
          <w:tcPr>
            <w:tcW w:w="2972" w:type="dxa"/>
          </w:tcPr>
          <w:p w14:paraId="6D47F557" w14:textId="55EFDBC8" w:rsidR="0033772B" w:rsidRDefault="0033772B" w:rsidP="00006FEB">
            <w:pPr>
              <w:jc w:val="both"/>
            </w:pPr>
            <w:r>
              <w:t>Zahájení jednání s dopravcem</w:t>
            </w:r>
            <w:r w:rsidR="008F66C1">
              <w:t xml:space="preserve"> u přímého zadání</w:t>
            </w:r>
          </w:p>
        </w:tc>
        <w:tc>
          <w:tcPr>
            <w:tcW w:w="2268" w:type="dxa"/>
          </w:tcPr>
          <w:p w14:paraId="7C9BF693" w14:textId="77777777" w:rsidR="0033772B" w:rsidRDefault="0033772B" w:rsidP="00006FEB">
            <w:pPr>
              <w:jc w:val="both"/>
            </w:pPr>
            <w:r>
              <w:t>před 2. srpnem 2021</w:t>
            </w:r>
          </w:p>
        </w:tc>
        <w:tc>
          <w:tcPr>
            <w:tcW w:w="1843" w:type="dxa"/>
          </w:tcPr>
          <w:p w14:paraId="064F5BDE" w14:textId="77777777" w:rsidR="0033772B" w:rsidRDefault="0033772B" w:rsidP="00006FEB">
            <w:pPr>
              <w:jc w:val="both"/>
            </w:pPr>
            <w:r>
              <w:t>od 2. srpna 2021</w:t>
            </w:r>
          </w:p>
        </w:tc>
        <w:tc>
          <w:tcPr>
            <w:tcW w:w="1979" w:type="dxa"/>
          </w:tcPr>
          <w:p w14:paraId="2D840DDF" w14:textId="77777777" w:rsidR="0033772B" w:rsidRDefault="0033772B" w:rsidP="00006FEB">
            <w:pPr>
              <w:jc w:val="both"/>
            </w:pPr>
            <w:r>
              <w:t>od 1. prosince 2022</w:t>
            </w:r>
          </w:p>
        </w:tc>
      </w:tr>
    </w:tbl>
    <w:p w14:paraId="281A8D4D" w14:textId="77777777" w:rsidR="0033772B" w:rsidRPr="0054034D" w:rsidRDefault="0033772B" w:rsidP="00EA33B5">
      <w:pPr>
        <w:jc w:val="both"/>
        <w:rPr>
          <w:b/>
        </w:rPr>
      </w:pPr>
    </w:p>
    <w:p w14:paraId="52EA407A" w14:textId="6B7C5D9C" w:rsidR="00FD01C1" w:rsidRPr="00EA33B5" w:rsidRDefault="00EA33B5" w:rsidP="00EA33B5">
      <w:pPr>
        <w:pStyle w:val="Nadpis2"/>
      </w:pPr>
      <w:bookmarkStart w:id="25" w:name="_Toc157593057"/>
      <w:r>
        <w:t>5.3</w:t>
      </w:r>
      <w:r w:rsidR="005677B4">
        <w:t xml:space="preserve">. </w:t>
      </w:r>
      <w:r w:rsidR="00143385">
        <w:t>Okamžik</w:t>
      </w:r>
      <w:r w:rsidR="00143385" w:rsidRPr="00FD01C1">
        <w:t xml:space="preserve"> </w:t>
      </w:r>
      <w:r w:rsidR="00FD01C1" w:rsidRPr="00FD01C1">
        <w:t xml:space="preserve">rozhodující pro posouzení splnění minimálních podílů </w:t>
      </w:r>
      <w:proofErr w:type="spellStart"/>
      <w:r w:rsidR="00FD01C1" w:rsidRPr="00FD01C1">
        <w:t>nízkoemisních</w:t>
      </w:r>
      <w:proofErr w:type="spellEnd"/>
      <w:r w:rsidR="00FD01C1" w:rsidRPr="00FD01C1">
        <w:t xml:space="preserve"> vozidel</w:t>
      </w:r>
      <w:bookmarkEnd w:id="25"/>
    </w:p>
    <w:p w14:paraId="7FB85857" w14:textId="77777777" w:rsidR="00143385" w:rsidRDefault="00F14F18" w:rsidP="00F14F18">
      <w:pPr>
        <w:jc w:val="both"/>
      </w:pPr>
      <w:r>
        <w:t>Pro posouzení splnění minimálních podílů</w:t>
      </w:r>
      <w:r w:rsidR="002C1EDC">
        <w:t xml:space="preserve"> </w:t>
      </w:r>
      <w:proofErr w:type="spellStart"/>
      <w:r w:rsidR="002C1EDC">
        <w:t>nízkoemisních</w:t>
      </w:r>
      <w:proofErr w:type="spellEnd"/>
      <w:r w:rsidR="002C1EDC">
        <w:t xml:space="preserve"> vozidel</w:t>
      </w:r>
      <w:r>
        <w:t xml:space="preserve"> </w:t>
      </w:r>
      <w:r w:rsidR="00E651E7">
        <w:t>ve sledovaném časovém období</w:t>
      </w:r>
      <w:r>
        <w:t xml:space="preserve"> je </w:t>
      </w:r>
      <w:r w:rsidRPr="00F8698F">
        <w:rPr>
          <w:b/>
        </w:rPr>
        <w:t>v případě smluv uzavřených na veřejné zakázky</w:t>
      </w:r>
      <w:r>
        <w:t xml:space="preserve"> </w:t>
      </w:r>
      <w:r w:rsidRPr="00F8698F">
        <w:rPr>
          <w:b/>
        </w:rPr>
        <w:t>rozhodující datum uveřejnění oznámení o výsledku zadávacího řízení v Úředním věstníku Evropské unie</w:t>
      </w:r>
      <w:r w:rsidR="00030859">
        <w:t xml:space="preserve"> (</w:t>
      </w:r>
      <w:r w:rsidR="00F24F41">
        <w:t>§</w:t>
      </w:r>
      <w:r w:rsidR="00C37B33">
        <w:t xml:space="preserve"> 4 odst. 5 </w:t>
      </w:r>
      <w:r w:rsidR="00D948ED">
        <w:t>ZPNV</w:t>
      </w:r>
      <w:r w:rsidR="00C37B33">
        <w:t>)</w:t>
      </w:r>
      <w:r w:rsidR="00594B92">
        <w:t xml:space="preserve">. K započtení </w:t>
      </w:r>
      <w:proofErr w:type="spellStart"/>
      <w:r w:rsidR="00594B92">
        <w:t>nízkoemisních</w:t>
      </w:r>
      <w:proofErr w:type="spellEnd"/>
      <w:r w:rsidR="00594B92">
        <w:t xml:space="preserve"> vozidel do dosahovaného podílu </w:t>
      </w:r>
      <w:proofErr w:type="spellStart"/>
      <w:r w:rsidR="00594B92">
        <w:t>nízkoemisních</w:t>
      </w:r>
      <w:proofErr w:type="spellEnd"/>
      <w:r w:rsidR="00594B92">
        <w:t xml:space="preserve"> vozidel je nezbytné, aby u veřejných zakázek bylo ve sledovaném období k těmto veřejným zakázkám uveřejněno oznámení o výsledku zadávacího řízení v Úředním věstníku Evropské unie (rozhodné je tedy datum uveřejnění, nikoli datum odeslání formuláře). Uvedené platí i pro veřejné zakázky zadané na základě rámcové dohody či v dynamickém nákupním systému. </w:t>
      </w:r>
    </w:p>
    <w:p w14:paraId="5E220182" w14:textId="77777777" w:rsidR="00F14F18" w:rsidRPr="00A30EC5" w:rsidRDefault="00594B92" w:rsidP="00F14F18">
      <w:pPr>
        <w:jc w:val="both"/>
        <w:rPr>
          <w:b/>
        </w:rPr>
      </w:pPr>
      <w:r w:rsidRPr="00A30EC5">
        <w:rPr>
          <w:b/>
        </w:rPr>
        <w:t xml:space="preserve">U veřejných služeb v přepravě cestujících </w:t>
      </w:r>
      <w:r w:rsidRPr="00071576">
        <w:t xml:space="preserve">uzavíraných podle </w:t>
      </w:r>
      <w:r w:rsidR="00A30EC5" w:rsidRPr="00071576">
        <w:t>zákona</w:t>
      </w:r>
      <w:r w:rsidRPr="00071576">
        <w:t xml:space="preserve"> o veřejných službách v přepravě cestujících, které nejsou zadávány jako veřejné zakázky podle ZZVZ, a u kterých tudíž není uveřejňováno oznámení o výsledku zadávacího řízení v Úředním věstníku Evropské unie,</w:t>
      </w:r>
      <w:r w:rsidRPr="00A30EC5">
        <w:rPr>
          <w:b/>
        </w:rPr>
        <w:t xml:space="preserve"> je tímto rozhodným datem datum uzavření smlouvy.</w:t>
      </w:r>
    </w:p>
    <w:p w14:paraId="4D0E07CD" w14:textId="3EA73901" w:rsidR="00E97200" w:rsidRPr="00EA1BDF" w:rsidRDefault="0089281D" w:rsidP="0032217D">
      <w:pPr>
        <w:pStyle w:val="Nadpis1"/>
      </w:pPr>
      <w:bookmarkStart w:id="26" w:name="_Toc157593058"/>
      <w:r>
        <w:t>6</w:t>
      </w:r>
      <w:r w:rsidR="00E97200">
        <w:t xml:space="preserve">. </w:t>
      </w:r>
      <w:r w:rsidR="00E97200" w:rsidRPr="00EA1BDF">
        <w:t xml:space="preserve">Zvláštní možnosti – společné plnění </w:t>
      </w:r>
      <w:r w:rsidR="00DF680E">
        <w:t>podílů</w:t>
      </w:r>
      <w:r w:rsidR="00DF680E" w:rsidRPr="00EA1BDF">
        <w:t xml:space="preserve"> </w:t>
      </w:r>
      <w:r w:rsidR="00E97200" w:rsidRPr="00EA1BDF">
        <w:t>a náhradní pln</w:t>
      </w:r>
      <w:r w:rsidR="00E97200">
        <w:t>ění</w:t>
      </w:r>
      <w:bookmarkEnd w:id="26"/>
      <w:r w:rsidR="00E97200">
        <w:t xml:space="preserve"> </w:t>
      </w:r>
    </w:p>
    <w:p w14:paraId="58BF7E28" w14:textId="77777777" w:rsidR="008A0A79" w:rsidRDefault="008A0A79" w:rsidP="00E97200">
      <w:pPr>
        <w:jc w:val="both"/>
        <w:rPr>
          <w:b/>
        </w:rPr>
      </w:pPr>
    </w:p>
    <w:p w14:paraId="20F7CCB1" w14:textId="77777777" w:rsidR="008A0A79" w:rsidRDefault="008A0A79" w:rsidP="0054034D">
      <w:pPr>
        <w:pStyle w:val="Nadpis2"/>
      </w:pPr>
      <w:bookmarkStart w:id="27" w:name="_Toc157593059"/>
      <w:r>
        <w:t>6.1. Společné plnění podílů</w:t>
      </w:r>
      <w:bookmarkEnd w:id="27"/>
    </w:p>
    <w:p w14:paraId="627B09C5" w14:textId="78DBBD3D" w:rsidR="008A0A79" w:rsidRDefault="00E97200" w:rsidP="00E97200">
      <w:pPr>
        <w:jc w:val="both"/>
      </w:pPr>
      <w:r w:rsidRPr="00124FBA">
        <w:rPr>
          <w:b/>
        </w:rPr>
        <w:t>Zadavatelé a objednatelé mají</w:t>
      </w:r>
      <w:r w:rsidR="00124FBA" w:rsidRPr="00124FBA">
        <w:rPr>
          <w:b/>
        </w:rPr>
        <w:t xml:space="preserve"> na základě § 5 ZPNV</w:t>
      </w:r>
      <w:r w:rsidRPr="00124FBA">
        <w:rPr>
          <w:b/>
        </w:rPr>
        <w:t xml:space="preserve"> možnost plnit minimální podíl </w:t>
      </w:r>
      <w:proofErr w:type="spellStart"/>
      <w:r w:rsidRPr="00124FBA">
        <w:rPr>
          <w:b/>
        </w:rPr>
        <w:t>nízkoemisních</w:t>
      </w:r>
      <w:proofErr w:type="spellEnd"/>
      <w:r w:rsidR="00F57538" w:rsidRPr="00124FBA">
        <w:rPr>
          <w:b/>
        </w:rPr>
        <w:t xml:space="preserve"> vozidel podle </w:t>
      </w:r>
      <w:r w:rsidR="000C4C2F" w:rsidRPr="00124FBA">
        <w:rPr>
          <w:b/>
        </w:rPr>
        <w:t>§</w:t>
      </w:r>
      <w:r w:rsidR="00F57538" w:rsidRPr="00124FBA">
        <w:rPr>
          <w:b/>
        </w:rPr>
        <w:t xml:space="preserve"> 4 </w:t>
      </w:r>
      <w:r w:rsidR="00D948ED" w:rsidRPr="00124FBA">
        <w:rPr>
          <w:b/>
        </w:rPr>
        <w:t>ZPNV</w:t>
      </w:r>
      <w:r w:rsidR="000C4C2F" w:rsidRPr="00124FBA">
        <w:rPr>
          <w:b/>
        </w:rPr>
        <w:t xml:space="preserve"> </w:t>
      </w:r>
      <w:r w:rsidRPr="00124FBA">
        <w:rPr>
          <w:b/>
        </w:rPr>
        <w:t>společně.</w:t>
      </w:r>
      <w:r>
        <w:t xml:space="preserve"> </w:t>
      </w:r>
      <w:r w:rsidR="008A0A79">
        <w:t xml:space="preserve"> Uvedená možnost bude výhodná pro ty zadavatele či objednatele, kteří se dohodnou, že jeden, kterému nečiní problém dosáhnout vyšších než jen minimálních podílů, vypomůže jinému zadavateli či objednateli, který ví, že bude mít s plněním minimálních podílů potíže.</w:t>
      </w:r>
    </w:p>
    <w:p w14:paraId="2E4E1658" w14:textId="03E58ADC" w:rsidR="00E97200" w:rsidRDefault="00E97200" w:rsidP="00E97200">
      <w:pPr>
        <w:jc w:val="both"/>
      </w:pPr>
      <w:r w:rsidRPr="00921BC9">
        <w:rPr>
          <w:b/>
        </w:rPr>
        <w:t>Možnost rozhodnout se</w:t>
      </w:r>
      <w:r w:rsidR="008A0A79">
        <w:rPr>
          <w:b/>
        </w:rPr>
        <w:t xml:space="preserve"> plnit minimální podíly společně</w:t>
      </w:r>
      <w:r w:rsidRPr="00921BC9">
        <w:rPr>
          <w:b/>
        </w:rPr>
        <w:t xml:space="preserve"> a tuto svou vůli vykázat, mají</w:t>
      </w:r>
      <w:r w:rsidR="008A0A79">
        <w:rPr>
          <w:b/>
        </w:rPr>
        <w:t xml:space="preserve"> zadavatelé a objednatelé</w:t>
      </w:r>
      <w:r w:rsidRPr="00921BC9">
        <w:rPr>
          <w:b/>
        </w:rPr>
        <w:t xml:space="preserve"> po celou dobu sledovaného časového období</w:t>
      </w:r>
      <w:r>
        <w:t>, a to až do posledního dne tohoto sledovaného časového období. Aby se sp</w:t>
      </w:r>
      <w:r w:rsidR="00F57538">
        <w:t xml:space="preserve">olečné plnění podle </w:t>
      </w:r>
      <w:r w:rsidR="000C4C2F">
        <w:t>§</w:t>
      </w:r>
      <w:r>
        <w:t xml:space="preserve"> 4 zohlednilo pro účely kontroly, je </w:t>
      </w:r>
      <w:r>
        <w:lastRenderedPageBreak/>
        <w:t xml:space="preserve">potřeba, aby </w:t>
      </w:r>
      <w:r w:rsidRPr="00921BC9">
        <w:rPr>
          <w:b/>
        </w:rPr>
        <w:t xml:space="preserve">úmysl plnit </w:t>
      </w:r>
      <w:r w:rsidR="00AE3150">
        <w:rPr>
          <w:b/>
        </w:rPr>
        <w:t>podíly</w:t>
      </w:r>
      <w:r w:rsidRPr="00921BC9">
        <w:rPr>
          <w:b/>
        </w:rPr>
        <w:t xml:space="preserve"> společně</w:t>
      </w:r>
      <w:r>
        <w:t>, byl ze strany těchto zadavatelů nebo objednatelů </w:t>
      </w:r>
      <w:r w:rsidRPr="00921BC9">
        <w:rPr>
          <w:b/>
        </w:rPr>
        <w:t>řádně vykázán</w:t>
      </w:r>
      <w:r w:rsidR="00F57538">
        <w:t xml:space="preserve"> způsobem upraveným v </w:t>
      </w:r>
      <w:r w:rsidR="000C4C2F">
        <w:t>§</w:t>
      </w:r>
      <w:r w:rsidR="00F57538">
        <w:t xml:space="preserve"> 8 odst. 1 a 2 </w:t>
      </w:r>
      <w:r w:rsidR="00D948ED">
        <w:t>ZPNV</w:t>
      </w:r>
      <w:r>
        <w:t xml:space="preserve">.  </w:t>
      </w:r>
    </w:p>
    <w:p w14:paraId="04BC03C4" w14:textId="7A6DC296" w:rsidR="00E97200" w:rsidRPr="00AC2AFE" w:rsidRDefault="00E97200" w:rsidP="00E97200">
      <w:pPr>
        <w:jc w:val="both"/>
        <w:rPr>
          <w:b/>
        </w:rPr>
      </w:pPr>
      <w:r>
        <w:t>V případě, že zadavatelé nebo objednatelé sp</w:t>
      </w:r>
      <w:r w:rsidR="00F57538">
        <w:t xml:space="preserve">olečné plnění </w:t>
      </w:r>
      <w:r w:rsidR="00DF680E">
        <w:t>podílů</w:t>
      </w:r>
      <w:r w:rsidR="004D286B">
        <w:t xml:space="preserve"> </w:t>
      </w:r>
      <w:r>
        <w:t xml:space="preserve">řádně vykáží, </w:t>
      </w:r>
      <w:r w:rsidR="002359AF">
        <w:t xml:space="preserve">bude </w:t>
      </w:r>
      <w:r>
        <w:t xml:space="preserve">plnění minimálních podílů </w:t>
      </w:r>
      <w:proofErr w:type="spellStart"/>
      <w:r>
        <w:t>nízkoemisních</w:t>
      </w:r>
      <w:proofErr w:type="spellEnd"/>
      <w:r>
        <w:t xml:space="preserve"> vozidel, kterých musí podle </w:t>
      </w:r>
      <w:r w:rsidR="00124FBA">
        <w:t>ZPNV</w:t>
      </w:r>
      <w:r>
        <w:t xml:space="preserve"> dosahovat, </w:t>
      </w:r>
      <w:r w:rsidRPr="0054034D">
        <w:rPr>
          <w:b/>
        </w:rPr>
        <w:t xml:space="preserve">posuzováno v součtu za všechny zadavatele nebo objednatele, kteří společné plnění </w:t>
      </w:r>
      <w:r w:rsidR="00DF680E" w:rsidRPr="0054034D">
        <w:rPr>
          <w:b/>
        </w:rPr>
        <w:t xml:space="preserve">podílů </w:t>
      </w:r>
      <w:r w:rsidRPr="0054034D">
        <w:rPr>
          <w:b/>
        </w:rPr>
        <w:t>takto vykázali</w:t>
      </w:r>
      <w:r>
        <w:t xml:space="preserve">. </w:t>
      </w:r>
      <w:r w:rsidR="008A0A79">
        <w:t>To znamená, že pokud</w:t>
      </w:r>
      <w:r>
        <w:t xml:space="preserve"> bude v součtu stanovený minimální podíl </w:t>
      </w:r>
      <w:proofErr w:type="spellStart"/>
      <w:r>
        <w:t>nízkoemisních</w:t>
      </w:r>
      <w:proofErr w:type="spellEnd"/>
      <w:r>
        <w:t xml:space="preserve"> </w:t>
      </w:r>
      <w:r w:rsidR="00124FBA">
        <w:t xml:space="preserve">vozidel (u vozidel kategorie M3 třídy I a M3 třídy </w:t>
      </w:r>
      <w:r>
        <w:t>A se rozumí včetně požadavku, aby polovinu z daného podílu tvořila voz</w:t>
      </w:r>
      <w:r w:rsidR="00F57538">
        <w:t xml:space="preserve">idla splňující požadavky podle </w:t>
      </w:r>
      <w:r w:rsidR="000C4C2F">
        <w:t>§</w:t>
      </w:r>
      <w:r>
        <w:t xml:space="preserve"> 4 odst. 4 </w:t>
      </w:r>
      <w:r w:rsidR="00D948ED">
        <w:t>ZPNV</w:t>
      </w:r>
      <w:r>
        <w:t>) splněn, bude jeho splnění považováno za splnění všemi zadavateli nebo objednateli, kteří sp</w:t>
      </w:r>
      <w:r w:rsidR="00F57538">
        <w:t xml:space="preserve">olečné plnění </w:t>
      </w:r>
      <w:r w:rsidR="00DF680E">
        <w:t xml:space="preserve">podílů </w:t>
      </w:r>
      <w:r w:rsidR="00F57538">
        <w:t xml:space="preserve">podle </w:t>
      </w:r>
      <w:r w:rsidR="000C4C2F">
        <w:t>§</w:t>
      </w:r>
      <w:r w:rsidR="00124FBA">
        <w:t xml:space="preserve"> 4 ZPNV</w:t>
      </w:r>
      <w:r>
        <w:t xml:space="preserve"> vykázali. </w:t>
      </w:r>
      <w:r w:rsidR="00763666" w:rsidRPr="00AC2AFE">
        <w:rPr>
          <w:b/>
        </w:rPr>
        <w:t xml:space="preserve">V případě nedodržení minimálního podílu </w:t>
      </w:r>
      <w:proofErr w:type="spellStart"/>
      <w:r w:rsidR="00763666" w:rsidRPr="00AC2AFE">
        <w:rPr>
          <w:b/>
        </w:rPr>
        <w:t>nízkoemisních</w:t>
      </w:r>
      <w:proofErr w:type="spellEnd"/>
      <w:r w:rsidR="00763666" w:rsidRPr="00AC2AFE">
        <w:rPr>
          <w:b/>
        </w:rPr>
        <w:t xml:space="preserve"> vozidel v součtu za všechny zúčastněné zadavatele nebo objednatele bude sankce za spáchání přestupku uložena všem zadavatelům či objednatelům, kteří vykázali sp</w:t>
      </w:r>
      <w:r w:rsidR="00F57538" w:rsidRPr="00AC2AFE">
        <w:rPr>
          <w:b/>
        </w:rPr>
        <w:t xml:space="preserve">olečné plnění </w:t>
      </w:r>
      <w:r w:rsidR="00AE3150" w:rsidRPr="00AC2AFE">
        <w:rPr>
          <w:b/>
        </w:rPr>
        <w:t>podílů</w:t>
      </w:r>
      <w:r w:rsidR="00F57538" w:rsidRPr="00AC2AFE">
        <w:rPr>
          <w:b/>
        </w:rPr>
        <w:t xml:space="preserve"> podle </w:t>
      </w:r>
      <w:r w:rsidR="000C4C2F" w:rsidRPr="00AC2AFE">
        <w:rPr>
          <w:b/>
        </w:rPr>
        <w:t>§</w:t>
      </w:r>
      <w:r w:rsidR="00763666" w:rsidRPr="00AC2AFE">
        <w:rPr>
          <w:b/>
        </w:rPr>
        <w:t xml:space="preserve"> 4.</w:t>
      </w:r>
    </w:p>
    <w:p w14:paraId="3BE928DB" w14:textId="77777777" w:rsidR="00E97200" w:rsidRDefault="00E97200" w:rsidP="00E97200">
      <w:pPr>
        <w:jc w:val="both"/>
      </w:pPr>
      <w:r>
        <w:t xml:space="preserve">Společné plnění </w:t>
      </w:r>
      <w:r w:rsidR="00DF680E">
        <w:t xml:space="preserve">podílů </w:t>
      </w:r>
      <w:r>
        <w:t xml:space="preserve">(minimálního podílu </w:t>
      </w:r>
      <w:proofErr w:type="spellStart"/>
      <w:r>
        <w:t>nízkoemisních</w:t>
      </w:r>
      <w:proofErr w:type="spellEnd"/>
      <w:r>
        <w:t xml:space="preserve"> vozidel) se vykazuje</w:t>
      </w:r>
    </w:p>
    <w:p w14:paraId="7AD12B4D" w14:textId="77777777" w:rsidR="00E97200" w:rsidRDefault="00E97200" w:rsidP="00E97200">
      <w:pPr>
        <w:pStyle w:val="slovanseznam"/>
        <w:jc w:val="both"/>
      </w:pPr>
      <w:r w:rsidRPr="00CC5582">
        <w:t xml:space="preserve">prostřednictvím formuláře podle přílohy č. 2 nebo 3 </w:t>
      </w:r>
      <w:r w:rsidR="00D948ED">
        <w:t>ZPNV</w:t>
      </w:r>
    </w:p>
    <w:p w14:paraId="45772FB2" w14:textId="77777777" w:rsidR="00E97200" w:rsidRDefault="00E97200" w:rsidP="00E97200">
      <w:pPr>
        <w:pStyle w:val="slovanseznam"/>
        <w:jc w:val="both"/>
      </w:pPr>
      <w:r w:rsidRPr="00CC5582">
        <w:t>ve strojově čitelném formátu</w:t>
      </w:r>
    </w:p>
    <w:p w14:paraId="086D89EC" w14:textId="77777777" w:rsidR="00E97200" w:rsidRDefault="00E97200" w:rsidP="00E97200">
      <w:pPr>
        <w:pStyle w:val="slovanseznam"/>
        <w:jc w:val="both"/>
      </w:pPr>
      <w:r w:rsidRPr="00CC5582">
        <w:t xml:space="preserve">prostřednictvím datové schránky nebo </w:t>
      </w:r>
      <w:r>
        <w:t>datové zprávy podepsané</w:t>
      </w:r>
      <w:r w:rsidRPr="00CC5582">
        <w:t xml:space="preserve"> uznávaným elektronickým podpisem</w:t>
      </w:r>
    </w:p>
    <w:p w14:paraId="6D50D66F" w14:textId="77777777" w:rsidR="00E97200" w:rsidRPr="00CC5582" w:rsidRDefault="00E97200" w:rsidP="00E97200">
      <w:pPr>
        <w:pStyle w:val="slovanseznam"/>
        <w:jc w:val="both"/>
      </w:pPr>
      <w:r>
        <w:t>Ministerstvu pro místní rozvoj</w:t>
      </w:r>
      <w:r w:rsidRPr="00CC5582">
        <w:t xml:space="preserve"> </w:t>
      </w:r>
      <w:r>
        <w:t>(</w:t>
      </w:r>
      <w:r w:rsidR="00F57538">
        <w:t xml:space="preserve">jde-li o veřejné zakázky podle </w:t>
      </w:r>
      <w:r w:rsidR="000C4C2F">
        <w:t>§</w:t>
      </w:r>
      <w:r w:rsidRPr="00CC5582">
        <w:t xml:space="preserve"> 2 odst. 1 písm. a) nebo</w:t>
      </w:r>
      <w:r>
        <w:t xml:space="preserve"> b)</w:t>
      </w:r>
      <w:r w:rsidRPr="00CC5582">
        <w:t xml:space="preserve"> </w:t>
      </w:r>
      <w:r w:rsidR="00D948ED">
        <w:t>ZPNV</w:t>
      </w:r>
      <w:r w:rsidR="002C1EDC">
        <w:t>)</w:t>
      </w:r>
      <w:r>
        <w:t xml:space="preserve"> </w:t>
      </w:r>
      <w:r w:rsidRPr="00CC5582">
        <w:t>nebo</w:t>
      </w:r>
      <w:r>
        <w:t xml:space="preserve"> </w:t>
      </w:r>
      <w:r w:rsidR="002C1EDC">
        <w:t>Ministerstvu dopravy</w:t>
      </w:r>
      <w:r w:rsidRPr="00CC5582">
        <w:t xml:space="preserve"> </w:t>
      </w:r>
      <w:r w:rsidR="002C1EDC">
        <w:t>(</w:t>
      </w:r>
      <w:r w:rsidRPr="00CC5582">
        <w:t>jde-li o veřejné služb</w:t>
      </w:r>
      <w:r w:rsidR="00F57538">
        <w:t xml:space="preserve">y v přepravě cestujících podle </w:t>
      </w:r>
      <w:r w:rsidR="000C4C2F">
        <w:t>§</w:t>
      </w:r>
      <w:r w:rsidRPr="00CC5582">
        <w:t xml:space="preserve"> 2 odst. 1 písm. c</w:t>
      </w:r>
      <w:r w:rsidRPr="009B2BBA">
        <w:rPr>
          <w:bCs/>
        </w:rPr>
        <w:t>)</w:t>
      </w:r>
      <w:r w:rsidR="00F57538">
        <w:rPr>
          <w:bCs/>
        </w:rPr>
        <w:t xml:space="preserve"> </w:t>
      </w:r>
      <w:r w:rsidR="00D948ED">
        <w:rPr>
          <w:bCs/>
        </w:rPr>
        <w:t>ZPNV</w:t>
      </w:r>
      <w:r w:rsidR="002C1EDC">
        <w:rPr>
          <w:bCs/>
        </w:rPr>
        <w:t>)</w:t>
      </w:r>
      <w:r w:rsidRPr="00CC5582">
        <w:t>.</w:t>
      </w:r>
    </w:p>
    <w:p w14:paraId="513F46E6" w14:textId="77777777" w:rsidR="00E97200" w:rsidRDefault="00E97200" w:rsidP="00E97200">
      <w:pPr>
        <w:pStyle w:val="slovanseznam"/>
        <w:numPr>
          <w:ilvl w:val="0"/>
          <w:numId w:val="0"/>
        </w:numPr>
        <w:jc w:val="both"/>
      </w:pPr>
    </w:p>
    <w:p w14:paraId="038FD906" w14:textId="77777777" w:rsidR="003D34D0" w:rsidRDefault="00E97200" w:rsidP="00E97200">
      <w:pPr>
        <w:pStyle w:val="slovanseznam"/>
        <w:numPr>
          <w:ilvl w:val="0"/>
          <w:numId w:val="0"/>
        </w:numPr>
        <w:jc w:val="both"/>
      </w:pPr>
      <w:r>
        <w:t>Aby bylo sp</w:t>
      </w:r>
      <w:r w:rsidR="000D4B35">
        <w:t xml:space="preserve">olečné plnění </w:t>
      </w:r>
      <w:r w:rsidR="00DF680E">
        <w:t xml:space="preserve">podílů </w:t>
      </w:r>
      <w:proofErr w:type="spellStart"/>
      <w:r w:rsidR="00124FBA">
        <w:t>nízkoemisních</w:t>
      </w:r>
      <w:proofErr w:type="spellEnd"/>
      <w:r w:rsidR="00124FBA">
        <w:t xml:space="preserve"> vozidel</w:t>
      </w:r>
      <w:r w:rsidR="000C4C2F">
        <w:t xml:space="preserve"> </w:t>
      </w:r>
      <w:r>
        <w:t xml:space="preserve">řádně vykázáno všemi zadavateli nebo objednateli, kteří se na tomto společném plnění povinností dohodli, je potřeba, aby společné plnění </w:t>
      </w:r>
      <w:r w:rsidR="00DF680E">
        <w:t xml:space="preserve">podílů </w:t>
      </w:r>
      <w:r>
        <w:t xml:space="preserve">řádně vykázali všichni tito zadavatelé nebo objednatelé. Pokud by např. některý ze zadavatelů nebo objednatelů, kteří se takto dohodli, společné plnění </w:t>
      </w:r>
      <w:r w:rsidR="00DF680E">
        <w:t xml:space="preserve">podílů </w:t>
      </w:r>
      <w:r>
        <w:t>řádně nevykázal (tedy neodeslal by stanoveným způsobem vyplněný for</w:t>
      </w:r>
      <w:r w:rsidR="000D4B35">
        <w:t xml:space="preserve">mulář z přílohy č. 2 nebo 3 </w:t>
      </w:r>
      <w:r w:rsidR="00D948ED">
        <w:t>ZPNV</w:t>
      </w:r>
      <w:r>
        <w:t xml:space="preserve">), </w:t>
      </w:r>
      <w:r w:rsidR="002359AF">
        <w:t xml:space="preserve">bylo </w:t>
      </w:r>
      <w:r>
        <w:t xml:space="preserve">by společné plnění </w:t>
      </w:r>
      <w:r w:rsidR="00DF680E">
        <w:t xml:space="preserve">podílů </w:t>
      </w:r>
      <w:r w:rsidRPr="00921BC9">
        <w:rPr>
          <w:b/>
        </w:rPr>
        <w:t>uplatněno jen vůči těm zadavatelům či objednatelům, kteří ho řádně vykázali</w:t>
      </w:r>
      <w:r>
        <w:t xml:space="preserve">. </w:t>
      </w:r>
    </w:p>
    <w:p w14:paraId="40856B22" w14:textId="77777777" w:rsidR="00E97200" w:rsidRDefault="00E97200" w:rsidP="00E97200">
      <w:pPr>
        <w:pStyle w:val="slovanseznam"/>
        <w:numPr>
          <w:ilvl w:val="0"/>
          <w:numId w:val="0"/>
        </w:numPr>
        <w:jc w:val="both"/>
      </w:pPr>
    </w:p>
    <w:p w14:paraId="0FAEB46F" w14:textId="7395E397" w:rsidR="008A0A79" w:rsidRDefault="00901A34" w:rsidP="0054034D">
      <w:pPr>
        <w:pStyle w:val="Nadpis2"/>
      </w:pPr>
      <w:bookmarkStart w:id="28" w:name="_Toc157593060"/>
      <w:r>
        <w:t>6.2. Náhradní plnění podílů</w:t>
      </w:r>
      <w:bookmarkEnd w:id="28"/>
    </w:p>
    <w:p w14:paraId="596BDAC8" w14:textId="7040F7E6" w:rsidR="00761C92" w:rsidRDefault="00E97200" w:rsidP="00E97200">
      <w:pPr>
        <w:pStyle w:val="slovanseznam"/>
        <w:numPr>
          <w:ilvl w:val="0"/>
          <w:numId w:val="0"/>
        </w:numPr>
        <w:jc w:val="both"/>
      </w:pPr>
      <w:r>
        <w:t>Další možnost</w:t>
      </w:r>
      <w:r w:rsidR="00AE3150">
        <w:t>í, jak dosahovat podílů</w:t>
      </w:r>
      <w:r w:rsidR="000D4B35">
        <w:t xml:space="preserve"> podle </w:t>
      </w:r>
      <w:r w:rsidR="000C4C2F">
        <w:t>§</w:t>
      </w:r>
      <w:r>
        <w:t xml:space="preserve"> 4 </w:t>
      </w:r>
      <w:r w:rsidR="00D948ED">
        <w:t>ZPNV</w:t>
      </w:r>
      <w:r w:rsidR="000C4C2F">
        <w:t xml:space="preserve"> </w:t>
      </w:r>
      <w:r>
        <w:t xml:space="preserve">jiným způsobem, je </w:t>
      </w:r>
      <w:r w:rsidRPr="00124FBA">
        <w:rPr>
          <w:b/>
        </w:rPr>
        <w:t>náhradní plnění</w:t>
      </w:r>
      <w:r w:rsidR="00124FBA" w:rsidRPr="00124FBA">
        <w:rPr>
          <w:b/>
        </w:rPr>
        <w:t xml:space="preserve"> upravené v § 6 ZPNV</w:t>
      </w:r>
      <w:r w:rsidRPr="006975AD">
        <w:t xml:space="preserve">. </w:t>
      </w:r>
      <w:r w:rsidR="00763666">
        <w:t>Zadavatelé a objednatelé mají možnost plnit minimální podí</w:t>
      </w:r>
      <w:r w:rsidR="000D4B35">
        <w:t xml:space="preserve">l </w:t>
      </w:r>
      <w:proofErr w:type="spellStart"/>
      <w:r w:rsidR="000D4B35">
        <w:t>nízkoemisních</w:t>
      </w:r>
      <w:proofErr w:type="spellEnd"/>
      <w:r w:rsidR="000D4B35">
        <w:t xml:space="preserve"> vozidel podle </w:t>
      </w:r>
      <w:r w:rsidR="000C4C2F">
        <w:t>§</w:t>
      </w:r>
      <w:r w:rsidR="00763666">
        <w:t xml:space="preserve"> 4 </w:t>
      </w:r>
      <w:r w:rsidR="00763666" w:rsidRPr="00921BC9">
        <w:rPr>
          <w:b/>
        </w:rPr>
        <w:t>náhradním způsobem, a to prostřednictvím přestavby jimi vlastněných nebo používaných vozidel</w:t>
      </w:r>
      <w:r w:rsidR="00763666">
        <w:t xml:space="preserve">. </w:t>
      </w:r>
      <w:r w:rsidRPr="006975AD">
        <w:t>Do minimálního podí</w:t>
      </w:r>
      <w:r w:rsidR="000D4B35">
        <w:t xml:space="preserve">lu </w:t>
      </w:r>
      <w:proofErr w:type="spellStart"/>
      <w:r w:rsidR="000D4B35">
        <w:t>nízkoemisních</w:t>
      </w:r>
      <w:proofErr w:type="spellEnd"/>
      <w:r w:rsidR="000D4B35">
        <w:t xml:space="preserve"> vozidel podle </w:t>
      </w:r>
      <w:r w:rsidR="000C4C2F">
        <w:t>§</w:t>
      </w:r>
      <w:r w:rsidRPr="006975AD">
        <w:t xml:space="preserve"> 4</w:t>
      </w:r>
      <w:r w:rsidR="000D4B35">
        <w:t xml:space="preserve"> </w:t>
      </w:r>
      <w:r w:rsidR="00D948ED">
        <w:t>ZPNV</w:t>
      </w:r>
      <w:r w:rsidR="000C4C2F" w:rsidRPr="006975AD">
        <w:t xml:space="preserve"> </w:t>
      </w:r>
      <w:r w:rsidR="00763666">
        <w:t xml:space="preserve">totiž </w:t>
      </w:r>
      <w:r w:rsidRPr="006975AD">
        <w:t xml:space="preserve">může zadavatel nebo objednatel započítat i </w:t>
      </w:r>
      <w:proofErr w:type="spellStart"/>
      <w:r w:rsidRPr="006975AD">
        <w:t>nízkoemisní</w:t>
      </w:r>
      <w:proofErr w:type="spellEnd"/>
      <w:r w:rsidRPr="006975AD">
        <w:t xml:space="preserve"> vozidla nebo vozid</w:t>
      </w:r>
      <w:r w:rsidR="000D4B35">
        <w:t xml:space="preserve">la, která splní podmínky podle </w:t>
      </w:r>
      <w:r w:rsidR="000C4C2F">
        <w:t>§</w:t>
      </w:r>
      <w:r w:rsidR="000D4B35">
        <w:t xml:space="preserve"> 4 odst. 4 </w:t>
      </w:r>
      <w:r w:rsidR="00D948ED">
        <w:t>ZPNV</w:t>
      </w:r>
      <w:r w:rsidR="000C4C2F" w:rsidRPr="006975AD">
        <w:t xml:space="preserve"> </w:t>
      </w:r>
      <w:r w:rsidRPr="006975AD">
        <w:t>v důsledku přestavby. Aby mohlo k</w:t>
      </w:r>
      <w:r>
        <w:t xml:space="preserve"> jejich </w:t>
      </w:r>
      <w:r w:rsidRPr="006975AD">
        <w:t>započtení dojít, musí být přestavba provedena</w:t>
      </w:r>
      <w:r w:rsidR="000D4B35">
        <w:t xml:space="preserve"> ve sledovaném časovém období a vykázána podle </w:t>
      </w:r>
      <w:r w:rsidR="000C4C2F">
        <w:t>§</w:t>
      </w:r>
      <w:r w:rsidR="000D4B35">
        <w:t xml:space="preserve"> 8 odst. 3 a 4 </w:t>
      </w:r>
      <w:r w:rsidR="00D948ED">
        <w:t>ZPNV</w:t>
      </w:r>
      <w:r w:rsidRPr="006975AD">
        <w:t>.</w:t>
      </w:r>
      <w:r>
        <w:t xml:space="preserve"> </w:t>
      </w:r>
    </w:p>
    <w:p w14:paraId="07732187" w14:textId="42DD5D55" w:rsidR="0054034D" w:rsidRDefault="0054034D" w:rsidP="00E97200">
      <w:pPr>
        <w:pStyle w:val="slovanseznam"/>
        <w:numPr>
          <w:ilvl w:val="0"/>
          <w:numId w:val="0"/>
        </w:numPr>
        <w:jc w:val="both"/>
      </w:pPr>
    </w:p>
    <w:p w14:paraId="12625E04" w14:textId="77777777" w:rsidR="0054034D" w:rsidRDefault="0054034D" w:rsidP="0054034D">
      <w:pPr>
        <w:pStyle w:val="slovanseznam"/>
        <w:numPr>
          <w:ilvl w:val="0"/>
          <w:numId w:val="0"/>
        </w:numPr>
        <w:jc w:val="both"/>
      </w:pPr>
      <w:r w:rsidRPr="00527853">
        <w:t>Rozhodujícím okamžikem pro zápočet přestavěného vozidla</w:t>
      </w:r>
      <w:r>
        <w:t xml:space="preserve"> je </w:t>
      </w:r>
      <w:r w:rsidRPr="0054034D">
        <w:rPr>
          <w:b/>
        </w:rPr>
        <w:t>okamžik zápisu změny údajů v technickém průkazu silničního vozidla</w:t>
      </w:r>
      <w:r>
        <w:t xml:space="preserve"> nebo průkazu způsobilosti drážního vozidla v případě vozidla </w:t>
      </w:r>
      <w:r>
        <w:lastRenderedPageBreak/>
        <w:t xml:space="preserve">určeného k provozu na dráze trolejbusové (trolejbusu). K vykázání musí dojít do posledního dne sledovaného časového období, ve kterém byla změna údajů v příslušném průkazu vozidla zapsána. </w:t>
      </w:r>
    </w:p>
    <w:p w14:paraId="62BD6F08" w14:textId="77777777" w:rsidR="0054034D" w:rsidRDefault="0054034D" w:rsidP="0054034D">
      <w:pPr>
        <w:pStyle w:val="slovanseznam"/>
        <w:numPr>
          <w:ilvl w:val="0"/>
          <w:numId w:val="0"/>
        </w:numPr>
        <w:jc w:val="both"/>
      </w:pPr>
    </w:p>
    <w:p w14:paraId="18596CDC" w14:textId="77777777" w:rsidR="0054034D" w:rsidRDefault="0054034D" w:rsidP="0054034D">
      <w:pPr>
        <w:pStyle w:val="slovanseznam"/>
        <w:numPr>
          <w:ilvl w:val="0"/>
          <w:numId w:val="0"/>
        </w:numPr>
        <w:jc w:val="both"/>
      </w:pPr>
      <w:r>
        <w:t xml:space="preserve">Vykázání náhradního plnění se provádí </w:t>
      </w:r>
      <w:r w:rsidRPr="0054034D">
        <w:rPr>
          <w:b/>
        </w:rPr>
        <w:t>sdělením Ministerstvu pro místní rozvoj, jde-li o veřejné zakázky, nebo sdělením Ministerstvu dopravy, jde-li o veřejné služby v přepravě cestujících</w:t>
      </w:r>
      <w:r w:rsidRPr="00CC5582">
        <w:t>. V tomto sdělení zadavatel nebo objednatel jednoznačně identifikuje vozidla, která byla předmětem přestavby, a uvede popis technických změn provedených na vozidle.</w:t>
      </w:r>
    </w:p>
    <w:p w14:paraId="41525EAB" w14:textId="77777777" w:rsidR="0054034D" w:rsidRDefault="0054034D" w:rsidP="00E97200">
      <w:pPr>
        <w:pStyle w:val="slovanseznam"/>
        <w:numPr>
          <w:ilvl w:val="0"/>
          <w:numId w:val="0"/>
        </w:numPr>
        <w:jc w:val="both"/>
      </w:pPr>
    </w:p>
    <w:p w14:paraId="50B0EB5A" w14:textId="7D1053B9" w:rsidR="00E97200" w:rsidRDefault="00E97200" w:rsidP="00E97200">
      <w:pPr>
        <w:pStyle w:val="slovanseznam"/>
        <w:numPr>
          <w:ilvl w:val="0"/>
          <w:numId w:val="0"/>
        </w:numPr>
        <w:jc w:val="both"/>
      </w:pPr>
      <w:r>
        <w:t xml:space="preserve">Důležitou skutečností přitom je, </w:t>
      </w:r>
      <w:r w:rsidRPr="00527853">
        <w:t xml:space="preserve">že </w:t>
      </w:r>
      <w:r w:rsidRPr="00921BC9">
        <w:rPr>
          <w:b/>
        </w:rPr>
        <w:t>přestavované vozidlo ne</w:t>
      </w:r>
      <w:r w:rsidR="000D4B35">
        <w:rPr>
          <w:b/>
        </w:rPr>
        <w:t>musí být pořízeno ve sledovaném časovém období</w:t>
      </w:r>
      <w:r w:rsidRPr="00527853">
        <w:t xml:space="preserve"> – může se jednat i o vozidlo, které zadavatel vlastnil již před započetím sledovaného období</w:t>
      </w:r>
      <w:r>
        <w:t>.</w:t>
      </w:r>
      <w:r w:rsidR="00761C92">
        <w:t xml:space="preserve"> K uvedené </w:t>
      </w:r>
      <w:r w:rsidR="00F34FB6">
        <w:t>problematice</w:t>
      </w:r>
      <w:r w:rsidR="00761C92">
        <w:t xml:space="preserve"> </w:t>
      </w:r>
      <w:r w:rsidR="005156A4">
        <w:t>viz</w:t>
      </w:r>
      <w:r w:rsidR="00761C92">
        <w:t xml:space="preserve"> odpověď na dotaz č. 20 ze </w:t>
      </w:r>
      <w:hyperlink r:id="rId10" w:history="1">
        <w:r w:rsidR="00761C92" w:rsidRPr="003C2BF4">
          <w:rPr>
            <w:rStyle w:val="Hypertextovodkaz"/>
          </w:rPr>
          <w:t>Sdělení Komise</w:t>
        </w:r>
      </w:hyperlink>
      <w:r w:rsidR="00A914AC">
        <w:rPr>
          <w:rStyle w:val="Hypertextovodkaz"/>
        </w:rPr>
        <w:t xml:space="preserve"> EU</w:t>
      </w:r>
      <w:r w:rsidR="005156A4">
        <w:t>.</w:t>
      </w:r>
    </w:p>
    <w:p w14:paraId="2E41B383" w14:textId="77777777" w:rsidR="002618FD" w:rsidRDefault="002618FD" w:rsidP="00E97200">
      <w:pPr>
        <w:pStyle w:val="slovanseznam"/>
        <w:numPr>
          <w:ilvl w:val="0"/>
          <w:numId w:val="0"/>
        </w:numPr>
        <w:jc w:val="both"/>
      </w:pPr>
    </w:p>
    <w:p w14:paraId="37624A49" w14:textId="421FD878" w:rsidR="00184C76" w:rsidRDefault="00184C76" w:rsidP="002618FD">
      <w:pPr>
        <w:pStyle w:val="slovanseznam"/>
        <w:numPr>
          <w:ilvl w:val="0"/>
          <w:numId w:val="0"/>
        </w:numPr>
        <w:jc w:val="both"/>
      </w:pPr>
    </w:p>
    <w:sectPr w:rsidR="00184C76" w:rsidSect="00D948ED">
      <w:footerReference w:type="default" r:id="rId11"/>
      <w:pgSz w:w="11906" w:h="16838"/>
      <w:pgMar w:top="1417" w:right="1417" w:bottom="326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7534" w16cex:dateUtc="2022-11-14T07:05:00Z"/>
  <w16cex:commentExtensible w16cex:durableId="271C75A9" w16cex:dateUtc="2022-11-14T07:07:00Z"/>
  <w16cex:commentExtensible w16cex:durableId="271C76A9" w16cex:dateUtc="2022-11-14T07:11:00Z"/>
  <w16cex:commentExtensible w16cex:durableId="271C77BB" w16cex:dateUtc="2022-11-14T07:15:00Z"/>
  <w16cex:commentExtensible w16cex:durableId="271C78DC" w16cex:dateUtc="2022-11-14T07:20:00Z"/>
  <w16cex:commentExtensible w16cex:durableId="271C7993" w16cex:dateUtc="2022-11-14T07:23:00Z"/>
  <w16cex:commentExtensible w16cex:durableId="271C7BB5" w16cex:dateUtc="2022-11-14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C4E48" w16cid:durableId="271C7534"/>
  <w16cid:commentId w16cid:paraId="558A6D47" w16cid:durableId="271C7430"/>
  <w16cid:commentId w16cid:paraId="3A8F149C" w16cid:durableId="271C7431"/>
  <w16cid:commentId w16cid:paraId="1E167A05" w16cid:durableId="271C7432"/>
  <w16cid:commentId w16cid:paraId="5F53C105" w16cid:durableId="271C7433"/>
  <w16cid:commentId w16cid:paraId="67A673C3" w16cid:durableId="271C7434"/>
  <w16cid:commentId w16cid:paraId="20B2AB5A" w16cid:durableId="271C7435"/>
  <w16cid:commentId w16cid:paraId="016455FE" w16cid:durableId="271C7436"/>
  <w16cid:commentId w16cid:paraId="0143B0E4" w16cid:durableId="271C7437"/>
  <w16cid:commentId w16cid:paraId="1CE5D67A" w16cid:durableId="271C7438"/>
  <w16cid:commentId w16cid:paraId="436F3F37" w16cid:durableId="271C75A9"/>
  <w16cid:commentId w16cid:paraId="607A66C7" w16cid:durableId="271C76A9"/>
  <w16cid:commentId w16cid:paraId="3861B569" w16cid:durableId="271C7439"/>
  <w16cid:commentId w16cid:paraId="17795959" w16cid:durableId="271C743A"/>
  <w16cid:commentId w16cid:paraId="25655F2F" w16cid:durableId="271C743B"/>
  <w16cid:commentId w16cid:paraId="3D015C3A" w16cid:durableId="271C743C"/>
  <w16cid:commentId w16cid:paraId="783BE1DA" w16cid:durableId="271C743D"/>
  <w16cid:commentId w16cid:paraId="2C545EA9" w16cid:durableId="271C743E"/>
  <w16cid:commentId w16cid:paraId="3BC0339D" w16cid:durableId="271C743F"/>
  <w16cid:commentId w16cid:paraId="3AFAA520" w16cid:durableId="271C7440"/>
  <w16cid:commentId w16cid:paraId="3C9D8635" w16cid:durableId="271C7441"/>
  <w16cid:commentId w16cid:paraId="57742294" w16cid:durableId="271C77BB"/>
  <w16cid:commentId w16cid:paraId="023260F8" w16cid:durableId="271C7442"/>
  <w16cid:commentId w16cid:paraId="61BEC908" w16cid:durableId="271C7443"/>
  <w16cid:commentId w16cid:paraId="6F3327ED" w16cid:durableId="271C7444"/>
  <w16cid:commentId w16cid:paraId="188F8EC9" w16cid:durableId="271C7445"/>
  <w16cid:commentId w16cid:paraId="566566D9" w16cid:durableId="271C7446"/>
  <w16cid:commentId w16cid:paraId="0B2764A8" w16cid:durableId="271C7447"/>
  <w16cid:commentId w16cid:paraId="014D4200" w16cid:durableId="271C7448"/>
  <w16cid:commentId w16cid:paraId="0BE999A0" w16cid:durableId="271C7449"/>
  <w16cid:commentId w16cid:paraId="1BB73544" w16cid:durableId="271C744A"/>
  <w16cid:commentId w16cid:paraId="5E834223" w16cid:durableId="271C744B"/>
  <w16cid:commentId w16cid:paraId="6C8D2565" w16cid:durableId="271C744C"/>
  <w16cid:commentId w16cid:paraId="1E0A444E" w16cid:durableId="271C78DC"/>
  <w16cid:commentId w16cid:paraId="7DE092C4" w16cid:durableId="271C744D"/>
  <w16cid:commentId w16cid:paraId="70CE35D5" w16cid:durableId="271C7993"/>
  <w16cid:commentId w16cid:paraId="2B6B6BCE" w16cid:durableId="271C744E"/>
  <w16cid:commentId w16cid:paraId="53138864" w16cid:durableId="271C744F"/>
  <w16cid:commentId w16cid:paraId="2F6433E7" w16cid:durableId="271C7450"/>
  <w16cid:commentId w16cid:paraId="3227FB03" w16cid:durableId="271C7451"/>
  <w16cid:commentId w16cid:paraId="42D5709D" w16cid:durableId="271C7452"/>
  <w16cid:commentId w16cid:paraId="114E1EAA" w16cid:durableId="271C7453"/>
  <w16cid:commentId w16cid:paraId="7CFB1B3F" w16cid:durableId="271C7454"/>
  <w16cid:commentId w16cid:paraId="715C355B" w16cid:durableId="271C7455"/>
  <w16cid:commentId w16cid:paraId="7977E156" w16cid:durableId="271C7456"/>
  <w16cid:commentId w16cid:paraId="070C950F" w16cid:durableId="271C7457"/>
  <w16cid:commentId w16cid:paraId="08BF1AD2" w16cid:durableId="271C7458"/>
  <w16cid:commentId w16cid:paraId="2674B0E0" w16cid:durableId="271C7459"/>
  <w16cid:commentId w16cid:paraId="65B238E5" w16cid:durableId="271C745A"/>
  <w16cid:commentId w16cid:paraId="013D99E3" w16cid:durableId="271C745B"/>
  <w16cid:commentId w16cid:paraId="33455423" w16cid:durableId="271C745C"/>
  <w16cid:commentId w16cid:paraId="722F886F" w16cid:durableId="271C7BB5"/>
  <w16cid:commentId w16cid:paraId="05B97ED0" w16cid:durableId="271C7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44CC" w14:textId="77777777" w:rsidR="0087603B" w:rsidRDefault="0087603B" w:rsidP="00C93E30">
      <w:pPr>
        <w:spacing w:after="0" w:line="240" w:lineRule="auto"/>
      </w:pPr>
      <w:r>
        <w:separator/>
      </w:r>
    </w:p>
  </w:endnote>
  <w:endnote w:type="continuationSeparator" w:id="0">
    <w:p w14:paraId="07B6C894" w14:textId="77777777" w:rsidR="0087603B" w:rsidRDefault="0087603B" w:rsidP="00C9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392288"/>
      <w:docPartObj>
        <w:docPartGallery w:val="Page Numbers (Bottom of Page)"/>
        <w:docPartUnique/>
      </w:docPartObj>
    </w:sdtPr>
    <w:sdtEndPr/>
    <w:sdtContent>
      <w:p w14:paraId="6F1DE3DB" w14:textId="317C45F3" w:rsidR="00F34FB6" w:rsidRDefault="00F34FB6">
        <w:pPr>
          <w:pStyle w:val="Zpat"/>
          <w:jc w:val="center"/>
        </w:pPr>
        <w:r>
          <w:fldChar w:fldCharType="begin"/>
        </w:r>
        <w:r>
          <w:instrText>PAGE   \* MERGEFORMAT</w:instrText>
        </w:r>
        <w:r>
          <w:fldChar w:fldCharType="separate"/>
        </w:r>
        <w:r w:rsidR="00E6259B">
          <w:rPr>
            <w:noProof/>
          </w:rPr>
          <w:t>14</w:t>
        </w:r>
        <w:r>
          <w:fldChar w:fldCharType="end"/>
        </w:r>
      </w:p>
    </w:sdtContent>
  </w:sdt>
  <w:p w14:paraId="68BB41FA" w14:textId="77777777" w:rsidR="00F34FB6" w:rsidRDefault="00F34F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3558F" w14:textId="77777777" w:rsidR="0087603B" w:rsidRDefault="0087603B" w:rsidP="00C93E30">
      <w:pPr>
        <w:spacing w:after="0" w:line="240" w:lineRule="auto"/>
      </w:pPr>
      <w:r>
        <w:separator/>
      </w:r>
    </w:p>
  </w:footnote>
  <w:footnote w:type="continuationSeparator" w:id="0">
    <w:p w14:paraId="64CFBE09" w14:textId="77777777" w:rsidR="0087603B" w:rsidRDefault="0087603B" w:rsidP="00C93E30">
      <w:pPr>
        <w:spacing w:after="0" w:line="240" w:lineRule="auto"/>
      </w:pPr>
      <w:r>
        <w:continuationSeparator/>
      </w:r>
    </w:p>
  </w:footnote>
  <w:footnote w:id="1">
    <w:p w14:paraId="00D65C0C" w14:textId="6901ED93" w:rsidR="00F34FB6" w:rsidRDefault="00F34FB6">
      <w:pPr>
        <w:pStyle w:val="Textpoznpodarou"/>
      </w:pPr>
      <w:r>
        <w:rPr>
          <w:rStyle w:val="Znakapoznpodarou"/>
        </w:rPr>
        <w:footnoteRef/>
      </w:r>
      <w:r>
        <w:t xml:space="preserve"> Viz příloha</w:t>
      </w:r>
      <w:r w:rsidRPr="0034614C">
        <w:t xml:space="preserve"> č. 2 vyhlášky č. 341/2014 Sb., o schvalování technické způsobilosti a o technických podmínkách provozu vozidel na pozemních komunikacích</w:t>
      </w:r>
      <w:r>
        <w:t>.</w:t>
      </w:r>
    </w:p>
  </w:footnote>
  <w:footnote w:id="2">
    <w:p w14:paraId="5240DF37" w14:textId="3BB2296A" w:rsidR="00F34FB6" w:rsidRDefault="00F34FB6">
      <w:pPr>
        <w:pStyle w:val="Textpoznpodarou"/>
      </w:pPr>
      <w:r>
        <w:rPr>
          <w:rStyle w:val="Znakapoznpodarou"/>
        </w:rPr>
        <w:footnoteRef/>
      </w:r>
      <w:r>
        <w:t xml:space="preserve"> Určení nadlimitní veřejné zakázky se řídí n</w:t>
      </w:r>
      <w:r w:rsidRPr="009A5502">
        <w:t>ařízení</w:t>
      </w:r>
      <w:r>
        <w:t>m</w:t>
      </w:r>
      <w:r w:rsidRPr="009A5502">
        <w:t xml:space="preserve"> vlády č. 172/2016 Sb., o stanovení finančních limitů a částek pro účely </w:t>
      </w:r>
      <w:r>
        <w:t>zákona</w:t>
      </w:r>
      <w:r w:rsidRPr="009A5502">
        <w:t xml:space="preserve"> o zadávání veřejných zakázek, ve znění pozdějších předpisů</w:t>
      </w:r>
      <w:r>
        <w:t xml:space="preserve">. Limity uvedené v tomto nařízení vlády jsou každé 2 roky aktualizovány. V současnosti jsou limity následující: u dodávek a služeb veřejného zadavatele na státní úrovni je to 3 </w:t>
      </w:r>
      <w:r w:rsidR="00E94D72">
        <w:t>494</w:t>
      </w:r>
      <w:r>
        <w:t xml:space="preserve"> 000 Kč bez DPH, u dodávek a služeb u veřejného zadavatele na úrovni samospráv je to 5 </w:t>
      </w:r>
      <w:r w:rsidR="00E94D72">
        <w:t>401</w:t>
      </w:r>
      <w:r>
        <w:t> 000 Kč bez DPH a u sektorových zadavatelů je to 1</w:t>
      </w:r>
      <w:r w:rsidR="00E94D72">
        <w:t>0</w:t>
      </w:r>
      <w:r>
        <w:t> </w:t>
      </w:r>
      <w:r w:rsidR="00E94D72">
        <w:t>826</w:t>
      </w:r>
      <w:r>
        <w:t> 000 Kč bez DPH.</w:t>
      </w:r>
    </w:p>
    <w:p w14:paraId="3E8C0851" w14:textId="77777777" w:rsidR="00F34FB6" w:rsidRDefault="00F34FB6">
      <w:pPr>
        <w:pStyle w:val="Textpoznpodarou"/>
      </w:pPr>
    </w:p>
    <w:p w14:paraId="0A56440C" w14:textId="2E642088" w:rsidR="00F34FB6" w:rsidRPr="0066086C" w:rsidRDefault="00F34FB6">
      <w:pPr>
        <w:pStyle w:val="Textpoznpodarou"/>
        <w:rPr>
          <w:b/>
        </w:rPr>
      </w:pPr>
      <w:r>
        <w:t xml:space="preserve">  </w:t>
      </w:r>
    </w:p>
  </w:footnote>
  <w:footnote w:id="3">
    <w:p w14:paraId="2A7D4020" w14:textId="04B4742B" w:rsidR="00F34FB6" w:rsidRPr="00471D56" w:rsidRDefault="00F34FB6" w:rsidP="0052646E">
      <w:pPr>
        <w:pStyle w:val="Textpoznpodarou"/>
      </w:pPr>
      <w:r w:rsidRPr="00471D56">
        <w:rPr>
          <w:rStyle w:val="Znakapoznpodarou"/>
        </w:rPr>
        <w:footnoteRef/>
      </w:r>
      <w:r w:rsidRPr="00471D56">
        <w:t xml:space="preserve"> podle čl. 5 odst. 4 nařízení Evropského parlamentu a Rady (ES) č. 1370/2007 ze dne 23. října 2007 o veřejných službách v přepravě cestujících po železnici a silnici a o zrušení nařízení Rady (EHS) č. 1191/69 a č. 1107/70, v platném znění. Jedná se o následující</w:t>
      </w:r>
      <w:r w:rsidR="006A40B4">
        <w:t xml:space="preserve"> prahové</w:t>
      </w:r>
      <w:r w:rsidRPr="00471D56">
        <w:t xml:space="preserve"> hodnoty: průměrná roční hodnota smlouvy 1 000 000 EUR, nebo poskytnutí 300 000 kilometrů veřejných služeb v přepravě cestujících ročně. V případě smlouvy uzavřené přímo s malým nebo středním podnikem, který provozuje maximálně 23 vozidel, mohou být tyto prahy zvýšeny buď na průměrnou roční odhadovanou hodnotu 2 000 000 EUR, nebo poskytnutí 600 000 kilometrů veřejných služeb v přepravě cestujících ročně.</w:t>
      </w:r>
    </w:p>
  </w:footnote>
  <w:footnote w:id="4">
    <w:p w14:paraId="7C99FBF9" w14:textId="0EBEAD9C" w:rsidR="00F34FB6" w:rsidRDefault="00F34FB6">
      <w:pPr>
        <w:pStyle w:val="Textpoznpodarou"/>
      </w:pPr>
      <w:r>
        <w:rPr>
          <w:rStyle w:val="Znakapoznpodarou"/>
        </w:rPr>
        <w:footnoteRef/>
      </w:r>
      <w:r>
        <w:t xml:space="preserve"> </w:t>
      </w:r>
      <w:r w:rsidRPr="006212F7">
        <w:rPr>
          <w:color w:val="222222"/>
          <w:sz w:val="18"/>
          <w:szCs w:val="18"/>
        </w:rPr>
        <w:t>Dle přílohy č. 2 vyhlášky č. 341/2014 Sb., o schvalování technické způsobilosti a o technických podmínkách provozu vozidel na pozemních komunikacích jsou silniční vozidla KATEGORIE M motorová vozidla konstruovaná a vyrobená především pro dopravu osob a jejich zavazadel. U kategorie M1 se jedná se o vozidla s nejvýše osmi místy k sezení kromě místa k sezení řidiče. Vozidla náležející do kategorie M1 nesmí mít prostor pro stojící cestující. Počet míst k sezení může být omezen na jedno (tj. místo k sezení řidiče).</w:t>
      </w:r>
    </w:p>
  </w:footnote>
  <w:footnote w:id="5">
    <w:p w14:paraId="7A27D06D" w14:textId="469CC343" w:rsidR="00F34FB6" w:rsidRPr="006212F7" w:rsidRDefault="00F34FB6" w:rsidP="006212F7">
      <w:pPr>
        <w:pStyle w:val="Textpoznpodarou"/>
        <w:spacing w:before="120"/>
        <w:jc w:val="both"/>
        <w:rPr>
          <w:sz w:val="18"/>
          <w:szCs w:val="18"/>
        </w:rPr>
      </w:pPr>
      <w:r>
        <w:rPr>
          <w:rStyle w:val="Znakapoznpodarou"/>
        </w:rPr>
        <w:footnoteRef/>
      </w:r>
      <w:r>
        <w:t xml:space="preserve"> </w:t>
      </w:r>
      <w:r>
        <w:rPr>
          <w:sz w:val="18"/>
          <w:szCs w:val="18"/>
        </w:rPr>
        <w:t xml:space="preserve">Jedná se o </w:t>
      </w:r>
      <w:r>
        <w:rPr>
          <w:color w:val="222222"/>
          <w:sz w:val="18"/>
          <w:szCs w:val="18"/>
        </w:rPr>
        <w:t>vozidla kategorie M s více než osmi místy k sezení kromě místa k sezení řidiče a s maximální hmotností nepřevyšující 5 tun. Vozidla náležející do kategorie M2 mohou mít kromě míst k sezení i prostor pro stojící cestující.</w:t>
      </w:r>
    </w:p>
  </w:footnote>
  <w:footnote w:id="6">
    <w:p w14:paraId="032CE2D8" w14:textId="3D2AB77F" w:rsidR="00F34FB6" w:rsidRDefault="00F34FB6">
      <w:pPr>
        <w:pStyle w:val="Textpoznpodarou"/>
      </w:pPr>
      <w:r>
        <w:rPr>
          <w:rStyle w:val="Znakapoznpodarou"/>
        </w:rPr>
        <w:footnoteRef/>
      </w:r>
      <w:r>
        <w:t xml:space="preserve"> </w:t>
      </w:r>
      <w:r>
        <w:rPr>
          <w:sz w:val="18"/>
          <w:szCs w:val="18"/>
        </w:rPr>
        <w:t xml:space="preserve">Dle přílohy č. 2 vyhlášky č. 341/2014 Sb., o schvalování technické způsobilosti a o technických podmínkách provozu vozidel na pozemních komunikacích jsou silniční vozidla </w:t>
      </w:r>
      <w:r>
        <w:rPr>
          <w:color w:val="222222"/>
          <w:sz w:val="18"/>
          <w:szCs w:val="18"/>
        </w:rPr>
        <w:t>KATEGORIE N motorová vozidla konstruovaná a vyrobená především pro dopravu nákladů. U kategorie N1 se</w:t>
      </w:r>
      <w:r>
        <w:rPr>
          <w:sz w:val="18"/>
          <w:szCs w:val="18"/>
        </w:rPr>
        <w:t xml:space="preserve"> jedná o vozidla kategorie N</w:t>
      </w:r>
      <w:r>
        <w:rPr>
          <w:color w:val="222222"/>
          <w:sz w:val="18"/>
          <w:szCs w:val="18"/>
        </w:rPr>
        <w:t xml:space="preserve"> s maximální hmotností nepřevyšující 3,5 tuny.</w:t>
      </w:r>
    </w:p>
  </w:footnote>
  <w:footnote w:id="7">
    <w:p w14:paraId="5B38936A" w14:textId="6B3E89E1" w:rsidR="00F34FB6" w:rsidRDefault="00F34FB6">
      <w:pPr>
        <w:pStyle w:val="Textpoznpodarou"/>
      </w:pPr>
      <w:r>
        <w:rPr>
          <w:rStyle w:val="Znakapoznpodarou"/>
        </w:rPr>
        <w:footnoteRef/>
      </w:r>
      <w:r>
        <w:t xml:space="preserve"> </w:t>
      </w:r>
      <w:r>
        <w:rPr>
          <w:sz w:val="18"/>
          <w:szCs w:val="18"/>
        </w:rPr>
        <w:t>Jedná se o vozidla kategorie N s maximální hmotností převyšující 3,5 tuny, ale nepřevyšující 12 tun.</w:t>
      </w:r>
    </w:p>
  </w:footnote>
  <w:footnote w:id="8">
    <w:p w14:paraId="2948EBD0" w14:textId="35917062" w:rsidR="00F34FB6" w:rsidRDefault="00F34FB6">
      <w:pPr>
        <w:pStyle w:val="Textpoznpodarou"/>
      </w:pPr>
      <w:r>
        <w:rPr>
          <w:rStyle w:val="Znakapoznpodarou"/>
        </w:rPr>
        <w:footnoteRef/>
      </w:r>
      <w:r>
        <w:t xml:space="preserve"> </w:t>
      </w:r>
      <w:r>
        <w:rPr>
          <w:sz w:val="18"/>
          <w:szCs w:val="18"/>
        </w:rPr>
        <w:t>Jedná se o vozidla kategorie N s maximální hmotností převyšující 12 tun.</w:t>
      </w:r>
    </w:p>
  </w:footnote>
  <w:footnote w:id="9">
    <w:p w14:paraId="0779C2EA" w14:textId="7BE0F946" w:rsidR="00F34FB6" w:rsidRDefault="00F34FB6">
      <w:pPr>
        <w:pStyle w:val="Textpoznpodarou"/>
      </w:pPr>
      <w:r>
        <w:rPr>
          <w:rStyle w:val="Znakapoznpodarou"/>
        </w:rPr>
        <w:footnoteRef/>
      </w:r>
      <w:r>
        <w:t xml:space="preserve"> </w:t>
      </w:r>
      <w:r w:rsidRPr="00D2536C">
        <w:rPr>
          <w:sz w:val="18"/>
          <w:szCs w:val="18"/>
        </w:rPr>
        <w:t>Bližší klasifikaci vozidel M3 upravuje předpis pro schvalování vozidel EHK OSN č. 107. Ten u vozidel s kapacitou větší než 22 cestujících kromě ři</w:t>
      </w:r>
      <w:r>
        <w:rPr>
          <w:sz w:val="18"/>
          <w:szCs w:val="18"/>
        </w:rPr>
        <w:t xml:space="preserve">diče definuje tři třídy vozidel. „Třída I“ - </w:t>
      </w:r>
      <w:r w:rsidRPr="00D2536C">
        <w:rPr>
          <w:sz w:val="18"/>
          <w:szCs w:val="18"/>
        </w:rPr>
        <w:t>vozidla zkonstruovaná s prostory pro stojící cestující a umo</w:t>
      </w:r>
      <w:r>
        <w:rPr>
          <w:sz w:val="18"/>
          <w:szCs w:val="18"/>
        </w:rPr>
        <w:t>žňující častý pohyb cestujících.</w:t>
      </w:r>
    </w:p>
  </w:footnote>
  <w:footnote w:id="10">
    <w:p w14:paraId="771C6034" w14:textId="0FD4BB68" w:rsidR="00F34FB6" w:rsidRDefault="00F34FB6">
      <w:pPr>
        <w:pStyle w:val="Textpoznpodarou"/>
      </w:pPr>
      <w:r>
        <w:rPr>
          <w:rStyle w:val="Znakapoznpodarou"/>
        </w:rPr>
        <w:footnoteRef/>
      </w:r>
      <w:r>
        <w:t xml:space="preserve"> </w:t>
      </w:r>
      <w:r w:rsidRPr="006212F7">
        <w:rPr>
          <w:sz w:val="18"/>
          <w:szCs w:val="18"/>
        </w:rPr>
        <w:t>U vozidel s kapacitou nepřekračující 22 c</w:t>
      </w:r>
      <w:r>
        <w:rPr>
          <w:sz w:val="18"/>
          <w:szCs w:val="18"/>
        </w:rPr>
        <w:t>estujících kromě řidiče dle</w:t>
      </w:r>
      <w:r w:rsidRPr="006212F7">
        <w:rPr>
          <w:sz w:val="18"/>
          <w:szCs w:val="18"/>
        </w:rPr>
        <w:t xml:space="preserve"> předpis</w:t>
      </w:r>
      <w:r>
        <w:rPr>
          <w:sz w:val="18"/>
          <w:szCs w:val="18"/>
        </w:rPr>
        <w:t>u</w:t>
      </w:r>
      <w:r w:rsidRPr="006212F7">
        <w:rPr>
          <w:sz w:val="18"/>
          <w:szCs w:val="18"/>
        </w:rPr>
        <w:t xml:space="preserve"> pro schvalování vozidel EHK OSN č. 107</w:t>
      </w:r>
      <w:r>
        <w:rPr>
          <w:sz w:val="18"/>
          <w:szCs w:val="18"/>
        </w:rPr>
        <w:t xml:space="preserve"> </w:t>
      </w:r>
      <w:r w:rsidRPr="006212F7">
        <w:rPr>
          <w:sz w:val="18"/>
          <w:szCs w:val="18"/>
        </w:rPr>
        <w:t xml:space="preserve">existují dvě třídy:  „Třída A“ </w:t>
      </w:r>
      <w:r>
        <w:rPr>
          <w:sz w:val="18"/>
          <w:szCs w:val="18"/>
        </w:rPr>
        <w:t xml:space="preserve">a </w:t>
      </w:r>
      <w:r w:rsidRPr="00414155">
        <w:rPr>
          <w:sz w:val="18"/>
          <w:szCs w:val="18"/>
        </w:rPr>
        <w:t>„Třída B“</w:t>
      </w:r>
      <w:r>
        <w:rPr>
          <w:sz w:val="18"/>
          <w:szCs w:val="18"/>
        </w:rPr>
        <w:t>. „Třída A“</w:t>
      </w:r>
      <w:r w:rsidRPr="00D2536C">
        <w:rPr>
          <w:sz w:val="18"/>
          <w:szCs w:val="18"/>
        </w:rPr>
        <w:t xml:space="preserve"> - </w:t>
      </w:r>
      <w:r w:rsidRPr="006212F7">
        <w:rPr>
          <w:sz w:val="18"/>
          <w:szCs w:val="18"/>
        </w:rPr>
        <w:t>vozidla zkonstruovaná pro dopravu stojících cestujících; vozidla této třídy mají sedadla a musí být v</w:t>
      </w:r>
      <w:r w:rsidRPr="00D2536C">
        <w:rPr>
          <w:sz w:val="18"/>
          <w:szCs w:val="18"/>
        </w:rPr>
        <w:t>ybavena pro stojící cestující.</w:t>
      </w:r>
    </w:p>
  </w:footnote>
  <w:footnote w:id="11">
    <w:p w14:paraId="0F1EF637" w14:textId="12F31151" w:rsidR="00F34FB6" w:rsidRDefault="00F34FB6">
      <w:pPr>
        <w:pStyle w:val="Textpoznpodarou"/>
      </w:pPr>
      <w:r>
        <w:rPr>
          <w:rStyle w:val="Znakapoznpodarou"/>
        </w:rPr>
        <w:footnoteRef/>
      </w:r>
      <w:r>
        <w:t xml:space="preserve"> </w:t>
      </w:r>
      <w:r w:rsidRPr="006212F7">
        <w:rPr>
          <w:sz w:val="18"/>
          <w:szCs w:val="18"/>
        </w:rPr>
        <w:t xml:space="preserve">Důvodem, proč jsou vedle vozidel </w:t>
      </w:r>
      <w:r>
        <w:rPr>
          <w:sz w:val="18"/>
          <w:szCs w:val="18"/>
        </w:rPr>
        <w:t>kategorie M3 zvlášť</w:t>
      </w:r>
      <w:r w:rsidRPr="006212F7">
        <w:rPr>
          <w:sz w:val="18"/>
          <w:szCs w:val="18"/>
        </w:rPr>
        <w:t xml:space="preserve"> uváděna i „vozidla určená k provozu na dráze trolejbusové“, je skutečnost, že trolejbusy sice dle legislativy EU spadají do kategorie vozidel M3, avšak dle české právní úpravy  v tomto případě nejde o silniční, ale drážní vozidlo podle Zákona č. 266/1994 Sb., o dráhách, ve znění pozdějších předpisů.</w:t>
      </w:r>
    </w:p>
  </w:footnote>
  <w:footnote w:id="12">
    <w:p w14:paraId="06431A05" w14:textId="209B2ABA" w:rsidR="00F34FB6" w:rsidRDefault="00F34FB6">
      <w:pPr>
        <w:pStyle w:val="Textpoznpodarou"/>
      </w:pPr>
      <w:r>
        <w:rPr>
          <w:rStyle w:val="Znakapoznpodarou"/>
        </w:rPr>
        <w:footnoteRef/>
      </w:r>
      <w:r>
        <w:t xml:space="preserve"> V tomto zákoně se rozumí </w:t>
      </w:r>
      <w:r w:rsidRPr="00F40B3B">
        <w:t>alternativním palivem palivo nebo zdroj energie, které slouží alespoň zčásti jako náhrada zdrojů fosilní ropy v dodávkách energie pro dopravu a které mají potenciál přispět k její dekarbonizaci a zvýšit environmentální výkonnost odvětví dopravy; alternativním palivem je zejména biopalivo nebo jiné palivo z obnovitelných zdrojů, syntetické a parafinické palivo, stlačený zemní plyn včetně biometanu, zkapalněný zemní plyn včetně biometanu, zkapalněn</w:t>
      </w:r>
      <w:r>
        <w:t>ý ropný plyn, elektřina a vodík.</w:t>
      </w:r>
    </w:p>
  </w:footnote>
  <w:footnote w:id="13">
    <w:p w14:paraId="6426E157" w14:textId="6FB4883F" w:rsidR="00F34FB6" w:rsidRPr="007E41A0" w:rsidRDefault="00F34FB6">
      <w:pPr>
        <w:pStyle w:val="Textpoznpodarou"/>
      </w:pPr>
      <w:r>
        <w:rPr>
          <w:rStyle w:val="Znakapoznpodarou"/>
        </w:rPr>
        <w:footnoteRef/>
      </w:r>
      <w:r>
        <w:t xml:space="preserve"> Nepoužívání uvedeného paliva by mělo být již zajištěno směrnicí </w:t>
      </w:r>
      <w:r w:rsidRPr="00C909ED">
        <w:t>(EU) 2015/1513 (ILUC)</w:t>
      </w:r>
      <w:r w:rsidRPr="00424960">
        <w:rPr>
          <w:color w:val="FF0000"/>
        </w:rPr>
        <w:t xml:space="preserve"> </w:t>
      </w:r>
      <w:r w:rsidRPr="007E41A0">
        <w:t>a dále shodou s článkem 26 směrnice (EU) 2018/2001 Evropského parlamentu a Rady (RED II).</w:t>
      </w:r>
    </w:p>
  </w:footnote>
  <w:footnote w:id="14">
    <w:p w14:paraId="2EC27842" w14:textId="479E85B3" w:rsidR="00823C2A" w:rsidRDefault="00823C2A">
      <w:pPr>
        <w:pStyle w:val="Textpoznpodarou"/>
      </w:pPr>
      <w:r>
        <w:rPr>
          <w:rStyle w:val="Znakapoznpodarou"/>
        </w:rPr>
        <w:footnoteRef/>
      </w:r>
      <w:r>
        <w:t xml:space="preserve"> </w:t>
      </w:r>
      <w:r w:rsidR="00CD0850">
        <w:t xml:space="preserve">Z důvodu technické nepřipravenosti </w:t>
      </w:r>
      <w:r w:rsidR="00C11297">
        <w:t>Úředníh</w:t>
      </w:r>
      <w:r w:rsidR="008D38E3">
        <w:t>o věstníku EU zatím nejsou patři</w:t>
      </w:r>
      <w:r w:rsidR="00C11297">
        <w:t xml:space="preserve">čná vykazovací pole součástí samotného formuláře a vykazování tak stále probíhá prostřednictvím polí uvedených v žádosti o uveřejnění tohoto formuláře. Po úpravě formulářů (a tudíž i způsobu vykazování) bude tato metodika aktualizována.  </w:t>
      </w:r>
      <w:r w:rsidR="00CD0850">
        <w:t xml:space="preserve"> </w:t>
      </w:r>
    </w:p>
  </w:footnote>
  <w:footnote w:id="15">
    <w:p w14:paraId="4FBD765C" w14:textId="6C52BD6D" w:rsidR="008D38E3" w:rsidRDefault="008D38E3">
      <w:pPr>
        <w:pStyle w:val="Textpoznpodarou"/>
      </w:pPr>
      <w:r>
        <w:rPr>
          <w:rStyle w:val="Znakapoznpodarou"/>
        </w:rPr>
        <w:footnoteRef/>
      </w:r>
      <w:r>
        <w:t xml:space="preserve"> </w:t>
      </w:r>
      <w:r w:rsidRPr="008D38E3">
        <w:t xml:space="preserve">Zadavatel tedy v žádosti o uveřejnění na otázku, zda se jedná se o veřejnou zakázku, která spadá do působnosti </w:t>
      </w:r>
      <w:r w:rsidR="00482FBD">
        <w:t xml:space="preserve">ZPNV nebo </w:t>
      </w:r>
      <w:r>
        <w:t>Pravidel podpory nízkoemisních vozidel</w:t>
      </w:r>
      <w:r w:rsidRPr="008D38E3">
        <w:t>, odpoví 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8B616"/>
    <w:lvl w:ilvl="0">
      <w:start w:val="1"/>
      <w:numFmt w:val="decimal"/>
      <w:lvlText w:val="%1."/>
      <w:lvlJc w:val="left"/>
      <w:pPr>
        <w:tabs>
          <w:tab w:val="num" w:pos="360"/>
        </w:tabs>
        <w:ind w:left="360" w:hanging="360"/>
      </w:pPr>
    </w:lvl>
  </w:abstractNum>
  <w:abstractNum w:abstractNumId="1" w15:restartNumberingAfterBreak="0">
    <w:nsid w:val="009207FA"/>
    <w:multiLevelType w:val="hybridMultilevel"/>
    <w:tmpl w:val="3248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77601F"/>
    <w:multiLevelType w:val="hybridMultilevel"/>
    <w:tmpl w:val="AE963F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6C308D5"/>
    <w:multiLevelType w:val="hybridMultilevel"/>
    <w:tmpl w:val="E8D602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6CD06C7"/>
    <w:multiLevelType w:val="hybridMultilevel"/>
    <w:tmpl w:val="9C2E1E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8FD1037"/>
    <w:multiLevelType w:val="hybridMultilevel"/>
    <w:tmpl w:val="CB34FDA6"/>
    <w:lvl w:ilvl="0" w:tplc="0405000F">
      <w:start w:val="1"/>
      <w:numFmt w:val="decimal"/>
      <w:lvlText w:val="%1."/>
      <w:lvlJc w:val="left"/>
      <w:pPr>
        <w:ind w:left="861"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6" w15:restartNumberingAfterBreak="0">
    <w:nsid w:val="09F10AFA"/>
    <w:multiLevelType w:val="hybridMultilevel"/>
    <w:tmpl w:val="0F0E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ED58C7"/>
    <w:multiLevelType w:val="hybridMultilevel"/>
    <w:tmpl w:val="492A1C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C5B4C"/>
    <w:multiLevelType w:val="hybridMultilevel"/>
    <w:tmpl w:val="8D2C7B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F346573"/>
    <w:multiLevelType w:val="hybridMultilevel"/>
    <w:tmpl w:val="384E7CD4"/>
    <w:lvl w:ilvl="0" w:tplc="E006D68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0CD478F"/>
    <w:multiLevelType w:val="hybridMultilevel"/>
    <w:tmpl w:val="F104CCF4"/>
    <w:lvl w:ilvl="0" w:tplc="E892A5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29F17B1"/>
    <w:multiLevelType w:val="hybridMultilevel"/>
    <w:tmpl w:val="0F0E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03004"/>
    <w:multiLevelType w:val="hybridMultilevel"/>
    <w:tmpl w:val="9328DCBE"/>
    <w:lvl w:ilvl="0" w:tplc="C43CDE52">
      <w:start w:val="1"/>
      <w:numFmt w:val="lowerLetter"/>
      <w:lvlText w:val="I.%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D0F0662"/>
    <w:multiLevelType w:val="hybridMultilevel"/>
    <w:tmpl w:val="126AD100"/>
    <w:lvl w:ilvl="0" w:tplc="FCC4924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912143"/>
    <w:multiLevelType w:val="hybridMultilevel"/>
    <w:tmpl w:val="86305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B027B8"/>
    <w:multiLevelType w:val="hybridMultilevel"/>
    <w:tmpl w:val="B46E4C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EB7F81"/>
    <w:multiLevelType w:val="hybridMultilevel"/>
    <w:tmpl w:val="DBEEC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7A2F2D"/>
    <w:multiLevelType w:val="hybridMultilevel"/>
    <w:tmpl w:val="5D8C2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7FD52DF"/>
    <w:multiLevelType w:val="hybridMultilevel"/>
    <w:tmpl w:val="D3B07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C92D2B"/>
    <w:multiLevelType w:val="hybridMultilevel"/>
    <w:tmpl w:val="200016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C182620"/>
    <w:multiLevelType w:val="multilevel"/>
    <w:tmpl w:val="81D8A2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B51C12"/>
    <w:multiLevelType w:val="hybridMultilevel"/>
    <w:tmpl w:val="74101EB4"/>
    <w:lvl w:ilvl="0" w:tplc="04050001">
      <w:start w:val="1"/>
      <w:numFmt w:val="bullet"/>
      <w:lvlText w:val=""/>
      <w:lvlJc w:val="left"/>
      <w:pPr>
        <w:ind w:left="720" w:hanging="360"/>
      </w:pPr>
      <w:rPr>
        <w:rFonts w:ascii="Symbol" w:hAnsi="Symbol" w:hint="default"/>
      </w:rPr>
    </w:lvl>
    <w:lvl w:ilvl="1" w:tplc="71AAFF1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552C28"/>
    <w:multiLevelType w:val="hybridMultilevel"/>
    <w:tmpl w:val="68FCF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1D702E"/>
    <w:multiLevelType w:val="hybridMultilevel"/>
    <w:tmpl w:val="BDC25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513A48"/>
    <w:multiLevelType w:val="hybridMultilevel"/>
    <w:tmpl w:val="D5BE9388"/>
    <w:lvl w:ilvl="0" w:tplc="A70E2C94">
      <w:start w:val="1"/>
      <w:numFmt w:val="bullet"/>
      <w:pStyle w:val="slovanseznam"/>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65A0E28"/>
    <w:multiLevelType w:val="hybridMultilevel"/>
    <w:tmpl w:val="C52482FE"/>
    <w:lvl w:ilvl="0" w:tplc="D4E28794">
      <w:start w:val="2"/>
      <w:numFmt w:val="decimal"/>
      <w:lvlText w:val="%1."/>
      <w:lvlJc w:val="left"/>
      <w:pPr>
        <w:ind w:left="1637" w:hanging="360"/>
      </w:pPr>
      <w:rPr>
        <w:rFonts w:hint="default"/>
        <w:b/>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26" w15:restartNumberingAfterBreak="0">
    <w:nsid w:val="5BE078CE"/>
    <w:multiLevelType w:val="hybridMultilevel"/>
    <w:tmpl w:val="0F0E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537896"/>
    <w:multiLevelType w:val="hybridMultilevel"/>
    <w:tmpl w:val="E4AAD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7C307E"/>
    <w:multiLevelType w:val="hybridMultilevel"/>
    <w:tmpl w:val="E4B2FE0A"/>
    <w:lvl w:ilvl="0" w:tplc="E892A5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BFA2874"/>
    <w:multiLevelType w:val="hybridMultilevel"/>
    <w:tmpl w:val="40B254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9543BD"/>
    <w:multiLevelType w:val="hybridMultilevel"/>
    <w:tmpl w:val="0F0E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772161"/>
    <w:multiLevelType w:val="multilevel"/>
    <w:tmpl w:val="91E2237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840A43"/>
    <w:multiLevelType w:val="hybridMultilevel"/>
    <w:tmpl w:val="9C781664"/>
    <w:lvl w:ilvl="0" w:tplc="04050001">
      <w:start w:val="1"/>
      <w:numFmt w:val="bullet"/>
      <w:lvlText w:val=""/>
      <w:lvlJc w:val="left"/>
      <w:pPr>
        <w:ind w:left="861" w:hanging="360"/>
      </w:pPr>
      <w:rPr>
        <w:rFonts w:ascii="Symbol" w:hAnsi="Symbol"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num w:numId="1">
    <w:abstractNumId w:val="30"/>
  </w:num>
  <w:num w:numId="2">
    <w:abstractNumId w:val="7"/>
  </w:num>
  <w:num w:numId="3">
    <w:abstractNumId w:val="10"/>
  </w:num>
  <w:num w:numId="4">
    <w:abstractNumId w:val="5"/>
  </w:num>
  <w:num w:numId="5">
    <w:abstractNumId w:val="21"/>
  </w:num>
  <w:num w:numId="6">
    <w:abstractNumId w:val="8"/>
  </w:num>
  <w:num w:numId="7">
    <w:abstractNumId w:val="24"/>
  </w:num>
  <w:num w:numId="8">
    <w:abstractNumId w:val="26"/>
  </w:num>
  <w:num w:numId="9">
    <w:abstractNumId w:val="28"/>
  </w:num>
  <w:num w:numId="10">
    <w:abstractNumId w:val="6"/>
  </w:num>
  <w:num w:numId="11">
    <w:abstractNumId w:val="15"/>
  </w:num>
  <w:num w:numId="12">
    <w:abstractNumId w:val="29"/>
  </w:num>
  <w:num w:numId="13">
    <w:abstractNumId w:val="25"/>
  </w:num>
  <w:num w:numId="14">
    <w:abstractNumId w:val="11"/>
  </w:num>
  <w:num w:numId="15">
    <w:abstractNumId w:val="13"/>
  </w:num>
  <w:num w:numId="16">
    <w:abstractNumId w:val="27"/>
  </w:num>
  <w:num w:numId="17">
    <w:abstractNumId w:val="22"/>
  </w:num>
  <w:num w:numId="18">
    <w:abstractNumId w:val="2"/>
  </w:num>
  <w:num w:numId="19">
    <w:abstractNumId w:val="19"/>
  </w:num>
  <w:num w:numId="20">
    <w:abstractNumId w:val="3"/>
  </w:num>
  <w:num w:numId="21">
    <w:abstractNumId w:val="17"/>
  </w:num>
  <w:num w:numId="22">
    <w:abstractNumId w:val="23"/>
  </w:num>
  <w:num w:numId="23">
    <w:abstractNumId w:val="12"/>
  </w:num>
  <w:num w:numId="24">
    <w:abstractNumId w:val="16"/>
  </w:num>
  <w:num w:numId="25">
    <w:abstractNumId w:val="32"/>
  </w:num>
  <w:num w:numId="26">
    <w:abstractNumId w:val="18"/>
  </w:num>
  <w:num w:numId="27">
    <w:abstractNumId w:val="20"/>
  </w:num>
  <w:num w:numId="28">
    <w:abstractNumId w:val="9"/>
  </w:num>
  <w:num w:numId="29">
    <w:abstractNumId w:val="31"/>
  </w:num>
  <w:num w:numId="30">
    <w:abstractNumId w:val="1"/>
  </w:num>
  <w:num w:numId="31">
    <w:abstractNumId w:val="14"/>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cs-CZ"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76"/>
    <w:rsid w:val="000017E4"/>
    <w:rsid w:val="00003059"/>
    <w:rsid w:val="00004DBF"/>
    <w:rsid w:val="00005C98"/>
    <w:rsid w:val="0001003F"/>
    <w:rsid w:val="00010E57"/>
    <w:rsid w:val="00011EA9"/>
    <w:rsid w:val="00011EF6"/>
    <w:rsid w:val="00020B02"/>
    <w:rsid w:val="0002253D"/>
    <w:rsid w:val="00030859"/>
    <w:rsid w:val="00030F11"/>
    <w:rsid w:val="00035AB4"/>
    <w:rsid w:val="00041552"/>
    <w:rsid w:val="000424D4"/>
    <w:rsid w:val="00043431"/>
    <w:rsid w:val="00052A3A"/>
    <w:rsid w:val="00067DD3"/>
    <w:rsid w:val="00071576"/>
    <w:rsid w:val="00084C90"/>
    <w:rsid w:val="00087237"/>
    <w:rsid w:val="000877CF"/>
    <w:rsid w:val="00093083"/>
    <w:rsid w:val="000A18E5"/>
    <w:rsid w:val="000A3879"/>
    <w:rsid w:val="000A53C1"/>
    <w:rsid w:val="000B0227"/>
    <w:rsid w:val="000C0340"/>
    <w:rsid w:val="000C1365"/>
    <w:rsid w:val="000C4C2F"/>
    <w:rsid w:val="000C6643"/>
    <w:rsid w:val="000C7111"/>
    <w:rsid w:val="000C7DEB"/>
    <w:rsid w:val="000D4B35"/>
    <w:rsid w:val="000D637D"/>
    <w:rsid w:val="000E01B3"/>
    <w:rsid w:val="000E4DCE"/>
    <w:rsid w:val="000E528B"/>
    <w:rsid w:val="000E70CE"/>
    <w:rsid w:val="000F758B"/>
    <w:rsid w:val="001014D2"/>
    <w:rsid w:val="00112087"/>
    <w:rsid w:val="00112D20"/>
    <w:rsid w:val="00113CEF"/>
    <w:rsid w:val="00121BEC"/>
    <w:rsid w:val="00124FBA"/>
    <w:rsid w:val="001255D9"/>
    <w:rsid w:val="001257F1"/>
    <w:rsid w:val="001335A2"/>
    <w:rsid w:val="001361C7"/>
    <w:rsid w:val="00143385"/>
    <w:rsid w:val="00143392"/>
    <w:rsid w:val="00147CAE"/>
    <w:rsid w:val="001536BB"/>
    <w:rsid w:val="0017178B"/>
    <w:rsid w:val="001719B1"/>
    <w:rsid w:val="00174A23"/>
    <w:rsid w:val="00177BF0"/>
    <w:rsid w:val="00180507"/>
    <w:rsid w:val="00182042"/>
    <w:rsid w:val="00184C76"/>
    <w:rsid w:val="00185DED"/>
    <w:rsid w:val="00192B0D"/>
    <w:rsid w:val="001936BF"/>
    <w:rsid w:val="001A0B0A"/>
    <w:rsid w:val="001A19AA"/>
    <w:rsid w:val="001A1B7D"/>
    <w:rsid w:val="001B2F5D"/>
    <w:rsid w:val="001B452C"/>
    <w:rsid w:val="001B62A4"/>
    <w:rsid w:val="001D1750"/>
    <w:rsid w:val="001D5BA8"/>
    <w:rsid w:val="001E0BAF"/>
    <w:rsid w:val="001E51DF"/>
    <w:rsid w:val="001F3FF4"/>
    <w:rsid w:val="001F5708"/>
    <w:rsid w:val="001F60B4"/>
    <w:rsid w:val="001F750B"/>
    <w:rsid w:val="001F7E83"/>
    <w:rsid w:val="001F7F1B"/>
    <w:rsid w:val="00202B63"/>
    <w:rsid w:val="002036D4"/>
    <w:rsid w:val="00205309"/>
    <w:rsid w:val="0020674B"/>
    <w:rsid w:val="00210E86"/>
    <w:rsid w:val="00211FB5"/>
    <w:rsid w:val="002139E0"/>
    <w:rsid w:val="00217B74"/>
    <w:rsid w:val="002207C5"/>
    <w:rsid w:val="00220EAD"/>
    <w:rsid w:val="002234FD"/>
    <w:rsid w:val="00223773"/>
    <w:rsid w:val="00225300"/>
    <w:rsid w:val="002359AF"/>
    <w:rsid w:val="002466A1"/>
    <w:rsid w:val="00251794"/>
    <w:rsid w:val="00254166"/>
    <w:rsid w:val="002618FD"/>
    <w:rsid w:val="00261F07"/>
    <w:rsid w:val="00264B5A"/>
    <w:rsid w:val="0027289A"/>
    <w:rsid w:val="002767D1"/>
    <w:rsid w:val="002772C4"/>
    <w:rsid w:val="00292BB1"/>
    <w:rsid w:val="002944D8"/>
    <w:rsid w:val="00294BEF"/>
    <w:rsid w:val="00297C82"/>
    <w:rsid w:val="002B187E"/>
    <w:rsid w:val="002B46ED"/>
    <w:rsid w:val="002B4AFA"/>
    <w:rsid w:val="002B64C5"/>
    <w:rsid w:val="002C1EDC"/>
    <w:rsid w:val="002C47E4"/>
    <w:rsid w:val="002C615A"/>
    <w:rsid w:val="002D0053"/>
    <w:rsid w:val="002D01BC"/>
    <w:rsid w:val="002D1386"/>
    <w:rsid w:val="002D457A"/>
    <w:rsid w:val="002D70A5"/>
    <w:rsid w:val="002F59B8"/>
    <w:rsid w:val="00307E3A"/>
    <w:rsid w:val="00314E8B"/>
    <w:rsid w:val="00315E9C"/>
    <w:rsid w:val="00317AC6"/>
    <w:rsid w:val="0032217D"/>
    <w:rsid w:val="00322BCE"/>
    <w:rsid w:val="00326A62"/>
    <w:rsid w:val="00333AF4"/>
    <w:rsid w:val="00335A8F"/>
    <w:rsid w:val="0033772B"/>
    <w:rsid w:val="0034614C"/>
    <w:rsid w:val="00347333"/>
    <w:rsid w:val="00352536"/>
    <w:rsid w:val="003631A4"/>
    <w:rsid w:val="00363884"/>
    <w:rsid w:val="00365D85"/>
    <w:rsid w:val="00366074"/>
    <w:rsid w:val="00370205"/>
    <w:rsid w:val="00377737"/>
    <w:rsid w:val="00385C2B"/>
    <w:rsid w:val="00387174"/>
    <w:rsid w:val="00387CAB"/>
    <w:rsid w:val="003906EB"/>
    <w:rsid w:val="003957B5"/>
    <w:rsid w:val="00395F44"/>
    <w:rsid w:val="003A006C"/>
    <w:rsid w:val="003A1D70"/>
    <w:rsid w:val="003A43EF"/>
    <w:rsid w:val="003B4DFC"/>
    <w:rsid w:val="003B60E2"/>
    <w:rsid w:val="003C2BF4"/>
    <w:rsid w:val="003C341F"/>
    <w:rsid w:val="003C7854"/>
    <w:rsid w:val="003D063B"/>
    <w:rsid w:val="003D2D65"/>
    <w:rsid w:val="003D31F9"/>
    <w:rsid w:val="003D34D0"/>
    <w:rsid w:val="003E2B04"/>
    <w:rsid w:val="003E335A"/>
    <w:rsid w:val="003E6465"/>
    <w:rsid w:val="003F14D4"/>
    <w:rsid w:val="003F1D83"/>
    <w:rsid w:val="00410643"/>
    <w:rsid w:val="00411A8F"/>
    <w:rsid w:val="00413F48"/>
    <w:rsid w:val="00415E44"/>
    <w:rsid w:val="00417093"/>
    <w:rsid w:val="00422367"/>
    <w:rsid w:val="0042299D"/>
    <w:rsid w:val="00424960"/>
    <w:rsid w:val="00427D64"/>
    <w:rsid w:val="0044009E"/>
    <w:rsid w:val="00440BDC"/>
    <w:rsid w:val="004427AF"/>
    <w:rsid w:val="00443FE6"/>
    <w:rsid w:val="00445BC0"/>
    <w:rsid w:val="00446D50"/>
    <w:rsid w:val="00451FFA"/>
    <w:rsid w:val="00457606"/>
    <w:rsid w:val="004654C9"/>
    <w:rsid w:val="00466388"/>
    <w:rsid w:val="00470594"/>
    <w:rsid w:val="00471D56"/>
    <w:rsid w:val="00477770"/>
    <w:rsid w:val="00482FBD"/>
    <w:rsid w:val="004934D3"/>
    <w:rsid w:val="00494626"/>
    <w:rsid w:val="004A2164"/>
    <w:rsid w:val="004A7190"/>
    <w:rsid w:val="004C02F1"/>
    <w:rsid w:val="004C410A"/>
    <w:rsid w:val="004D2509"/>
    <w:rsid w:val="004D286B"/>
    <w:rsid w:val="004D2E20"/>
    <w:rsid w:val="004D756A"/>
    <w:rsid w:val="004E30EB"/>
    <w:rsid w:val="004E5B58"/>
    <w:rsid w:val="004F3CA7"/>
    <w:rsid w:val="00503644"/>
    <w:rsid w:val="00503D7C"/>
    <w:rsid w:val="00503E60"/>
    <w:rsid w:val="00511B0D"/>
    <w:rsid w:val="00514052"/>
    <w:rsid w:val="005156A4"/>
    <w:rsid w:val="00517C99"/>
    <w:rsid w:val="005225AC"/>
    <w:rsid w:val="0052646E"/>
    <w:rsid w:val="00527853"/>
    <w:rsid w:val="00536458"/>
    <w:rsid w:val="0054034D"/>
    <w:rsid w:val="00541D25"/>
    <w:rsid w:val="00543F66"/>
    <w:rsid w:val="005447B8"/>
    <w:rsid w:val="0055164B"/>
    <w:rsid w:val="00551B06"/>
    <w:rsid w:val="00555387"/>
    <w:rsid w:val="00564719"/>
    <w:rsid w:val="005677B4"/>
    <w:rsid w:val="005740C0"/>
    <w:rsid w:val="00574F6D"/>
    <w:rsid w:val="005760A7"/>
    <w:rsid w:val="00576B2E"/>
    <w:rsid w:val="00591EE7"/>
    <w:rsid w:val="005924DB"/>
    <w:rsid w:val="00594B92"/>
    <w:rsid w:val="005A6A76"/>
    <w:rsid w:val="005B555D"/>
    <w:rsid w:val="005C18B6"/>
    <w:rsid w:val="005D33F8"/>
    <w:rsid w:val="005D74D1"/>
    <w:rsid w:val="005E2435"/>
    <w:rsid w:val="005E3272"/>
    <w:rsid w:val="005E7BA3"/>
    <w:rsid w:val="005F33ED"/>
    <w:rsid w:val="005F3F2B"/>
    <w:rsid w:val="005F5C0B"/>
    <w:rsid w:val="005F7D6C"/>
    <w:rsid w:val="0060151A"/>
    <w:rsid w:val="00602150"/>
    <w:rsid w:val="00606B32"/>
    <w:rsid w:val="00612D93"/>
    <w:rsid w:val="00613BDD"/>
    <w:rsid w:val="00616DB0"/>
    <w:rsid w:val="006212F7"/>
    <w:rsid w:val="006229D2"/>
    <w:rsid w:val="00622B82"/>
    <w:rsid w:val="00622C21"/>
    <w:rsid w:val="00633678"/>
    <w:rsid w:val="006350A6"/>
    <w:rsid w:val="006450E6"/>
    <w:rsid w:val="00647CD3"/>
    <w:rsid w:val="00651B7A"/>
    <w:rsid w:val="006525D5"/>
    <w:rsid w:val="0066086C"/>
    <w:rsid w:val="006645F4"/>
    <w:rsid w:val="00667C70"/>
    <w:rsid w:val="0068345B"/>
    <w:rsid w:val="00683777"/>
    <w:rsid w:val="006864AF"/>
    <w:rsid w:val="00691CDF"/>
    <w:rsid w:val="006921B3"/>
    <w:rsid w:val="006975AD"/>
    <w:rsid w:val="006A2DFC"/>
    <w:rsid w:val="006A40B4"/>
    <w:rsid w:val="006A4F6C"/>
    <w:rsid w:val="006A6D6C"/>
    <w:rsid w:val="006B6407"/>
    <w:rsid w:val="006C099D"/>
    <w:rsid w:val="006D27BB"/>
    <w:rsid w:val="006D2B05"/>
    <w:rsid w:val="006D3A98"/>
    <w:rsid w:val="006D56D5"/>
    <w:rsid w:val="006F2F3F"/>
    <w:rsid w:val="00703695"/>
    <w:rsid w:val="007105D8"/>
    <w:rsid w:val="00716F53"/>
    <w:rsid w:val="007218E2"/>
    <w:rsid w:val="00721F2A"/>
    <w:rsid w:val="007278FF"/>
    <w:rsid w:val="00736FC3"/>
    <w:rsid w:val="00740B8F"/>
    <w:rsid w:val="007505DA"/>
    <w:rsid w:val="007553AF"/>
    <w:rsid w:val="00761C92"/>
    <w:rsid w:val="00763666"/>
    <w:rsid w:val="00770AD3"/>
    <w:rsid w:val="007710F6"/>
    <w:rsid w:val="00772D0D"/>
    <w:rsid w:val="00775364"/>
    <w:rsid w:val="00776BBB"/>
    <w:rsid w:val="00794486"/>
    <w:rsid w:val="007A25E8"/>
    <w:rsid w:val="007A2F43"/>
    <w:rsid w:val="007A7CFD"/>
    <w:rsid w:val="007B0432"/>
    <w:rsid w:val="007B2BB0"/>
    <w:rsid w:val="007D0A53"/>
    <w:rsid w:val="007D368D"/>
    <w:rsid w:val="007E035D"/>
    <w:rsid w:val="007E41A0"/>
    <w:rsid w:val="007E439A"/>
    <w:rsid w:val="007E6D2D"/>
    <w:rsid w:val="007E6F81"/>
    <w:rsid w:val="007E77F3"/>
    <w:rsid w:val="007E7CC8"/>
    <w:rsid w:val="007F3357"/>
    <w:rsid w:val="008052E7"/>
    <w:rsid w:val="00805A6F"/>
    <w:rsid w:val="008074D7"/>
    <w:rsid w:val="00816889"/>
    <w:rsid w:val="00817DA7"/>
    <w:rsid w:val="00821426"/>
    <w:rsid w:val="00821923"/>
    <w:rsid w:val="00821D9C"/>
    <w:rsid w:val="00823C2A"/>
    <w:rsid w:val="008241F5"/>
    <w:rsid w:val="00826F06"/>
    <w:rsid w:val="008361CD"/>
    <w:rsid w:val="008368CC"/>
    <w:rsid w:val="008433B1"/>
    <w:rsid w:val="00851301"/>
    <w:rsid w:val="00857F60"/>
    <w:rsid w:val="0087180F"/>
    <w:rsid w:val="008732FD"/>
    <w:rsid w:val="008744E8"/>
    <w:rsid w:val="0087603B"/>
    <w:rsid w:val="00880C3A"/>
    <w:rsid w:val="00884E6E"/>
    <w:rsid w:val="0088529C"/>
    <w:rsid w:val="00886F3C"/>
    <w:rsid w:val="0089281D"/>
    <w:rsid w:val="00895F68"/>
    <w:rsid w:val="0089672D"/>
    <w:rsid w:val="008979B5"/>
    <w:rsid w:val="008A071B"/>
    <w:rsid w:val="008A0A79"/>
    <w:rsid w:val="008A11C2"/>
    <w:rsid w:val="008B2EF8"/>
    <w:rsid w:val="008B53E0"/>
    <w:rsid w:val="008C33E8"/>
    <w:rsid w:val="008D38E3"/>
    <w:rsid w:val="008D752B"/>
    <w:rsid w:val="008E0119"/>
    <w:rsid w:val="008E01C8"/>
    <w:rsid w:val="008E2BC5"/>
    <w:rsid w:val="008E2E3D"/>
    <w:rsid w:val="008E5BFF"/>
    <w:rsid w:val="008F66C1"/>
    <w:rsid w:val="009009C3"/>
    <w:rsid w:val="00900FE0"/>
    <w:rsid w:val="00901A34"/>
    <w:rsid w:val="0091442D"/>
    <w:rsid w:val="00921BC9"/>
    <w:rsid w:val="009224E3"/>
    <w:rsid w:val="00922829"/>
    <w:rsid w:val="0095596A"/>
    <w:rsid w:val="00956337"/>
    <w:rsid w:val="00962E48"/>
    <w:rsid w:val="009763D0"/>
    <w:rsid w:val="00977AA5"/>
    <w:rsid w:val="00977B84"/>
    <w:rsid w:val="009921B5"/>
    <w:rsid w:val="00996868"/>
    <w:rsid w:val="00997041"/>
    <w:rsid w:val="0099773C"/>
    <w:rsid w:val="009A5502"/>
    <w:rsid w:val="009A640B"/>
    <w:rsid w:val="009A676F"/>
    <w:rsid w:val="009A6D48"/>
    <w:rsid w:val="009B2BBA"/>
    <w:rsid w:val="009B4433"/>
    <w:rsid w:val="009C00D5"/>
    <w:rsid w:val="009D2832"/>
    <w:rsid w:val="009D42DC"/>
    <w:rsid w:val="009E4A7B"/>
    <w:rsid w:val="009E5FC3"/>
    <w:rsid w:val="009F3E38"/>
    <w:rsid w:val="009F5015"/>
    <w:rsid w:val="00A11B36"/>
    <w:rsid w:val="00A21F40"/>
    <w:rsid w:val="00A30EC5"/>
    <w:rsid w:val="00A405F9"/>
    <w:rsid w:val="00A421F7"/>
    <w:rsid w:val="00A43253"/>
    <w:rsid w:val="00A502E4"/>
    <w:rsid w:val="00A51570"/>
    <w:rsid w:val="00A55124"/>
    <w:rsid w:val="00A74E27"/>
    <w:rsid w:val="00A75099"/>
    <w:rsid w:val="00A83C5F"/>
    <w:rsid w:val="00A841BD"/>
    <w:rsid w:val="00A84C2A"/>
    <w:rsid w:val="00A87E05"/>
    <w:rsid w:val="00A914AC"/>
    <w:rsid w:val="00A9217C"/>
    <w:rsid w:val="00A9501C"/>
    <w:rsid w:val="00A95CDE"/>
    <w:rsid w:val="00AA3AAD"/>
    <w:rsid w:val="00AA512F"/>
    <w:rsid w:val="00AB3332"/>
    <w:rsid w:val="00AB4CCB"/>
    <w:rsid w:val="00AB649D"/>
    <w:rsid w:val="00AB6BCA"/>
    <w:rsid w:val="00AC2AFE"/>
    <w:rsid w:val="00AC713D"/>
    <w:rsid w:val="00AD0674"/>
    <w:rsid w:val="00AD2CF2"/>
    <w:rsid w:val="00AE3150"/>
    <w:rsid w:val="00B20C4B"/>
    <w:rsid w:val="00B25A57"/>
    <w:rsid w:val="00B324FB"/>
    <w:rsid w:val="00B43228"/>
    <w:rsid w:val="00B44B36"/>
    <w:rsid w:val="00B451D3"/>
    <w:rsid w:val="00B46D47"/>
    <w:rsid w:val="00B5593E"/>
    <w:rsid w:val="00B65B86"/>
    <w:rsid w:val="00B67FD4"/>
    <w:rsid w:val="00B7544B"/>
    <w:rsid w:val="00B759A5"/>
    <w:rsid w:val="00B8099D"/>
    <w:rsid w:val="00B831B9"/>
    <w:rsid w:val="00B855B5"/>
    <w:rsid w:val="00B86907"/>
    <w:rsid w:val="00B87FD3"/>
    <w:rsid w:val="00BB00C9"/>
    <w:rsid w:val="00BB1C3C"/>
    <w:rsid w:val="00BB418E"/>
    <w:rsid w:val="00BB59BE"/>
    <w:rsid w:val="00BC2E1B"/>
    <w:rsid w:val="00BD1AC1"/>
    <w:rsid w:val="00BD6A7B"/>
    <w:rsid w:val="00BE2271"/>
    <w:rsid w:val="00BF2D89"/>
    <w:rsid w:val="00C10CB8"/>
    <w:rsid w:val="00C11297"/>
    <w:rsid w:val="00C11393"/>
    <w:rsid w:val="00C11A61"/>
    <w:rsid w:val="00C14BD9"/>
    <w:rsid w:val="00C167BE"/>
    <w:rsid w:val="00C37B33"/>
    <w:rsid w:val="00C37BAF"/>
    <w:rsid w:val="00C41A5D"/>
    <w:rsid w:val="00C44A6C"/>
    <w:rsid w:val="00C55DEB"/>
    <w:rsid w:val="00C60A4E"/>
    <w:rsid w:val="00C60B9A"/>
    <w:rsid w:val="00C61CA0"/>
    <w:rsid w:val="00C643B7"/>
    <w:rsid w:val="00C64EDF"/>
    <w:rsid w:val="00C6680F"/>
    <w:rsid w:val="00C7569C"/>
    <w:rsid w:val="00C80BD0"/>
    <w:rsid w:val="00C8754B"/>
    <w:rsid w:val="00C9183D"/>
    <w:rsid w:val="00C933CB"/>
    <w:rsid w:val="00C93E30"/>
    <w:rsid w:val="00CA2F02"/>
    <w:rsid w:val="00CA3572"/>
    <w:rsid w:val="00CA39EB"/>
    <w:rsid w:val="00CA73FF"/>
    <w:rsid w:val="00CC1502"/>
    <w:rsid w:val="00CC1AA7"/>
    <w:rsid w:val="00CC546A"/>
    <w:rsid w:val="00CD0850"/>
    <w:rsid w:val="00CD3402"/>
    <w:rsid w:val="00CE3668"/>
    <w:rsid w:val="00CE50E4"/>
    <w:rsid w:val="00CE5F5F"/>
    <w:rsid w:val="00CE6E84"/>
    <w:rsid w:val="00CF13F0"/>
    <w:rsid w:val="00CF5042"/>
    <w:rsid w:val="00CF781F"/>
    <w:rsid w:val="00D05527"/>
    <w:rsid w:val="00D0755B"/>
    <w:rsid w:val="00D15E95"/>
    <w:rsid w:val="00D2536C"/>
    <w:rsid w:val="00D31498"/>
    <w:rsid w:val="00D3458A"/>
    <w:rsid w:val="00D421CB"/>
    <w:rsid w:val="00D47268"/>
    <w:rsid w:val="00D50B26"/>
    <w:rsid w:val="00D56963"/>
    <w:rsid w:val="00D64260"/>
    <w:rsid w:val="00D66125"/>
    <w:rsid w:val="00D673C1"/>
    <w:rsid w:val="00D77AE0"/>
    <w:rsid w:val="00D83164"/>
    <w:rsid w:val="00D8672F"/>
    <w:rsid w:val="00D93E21"/>
    <w:rsid w:val="00D948ED"/>
    <w:rsid w:val="00D9697D"/>
    <w:rsid w:val="00D9732B"/>
    <w:rsid w:val="00DA4430"/>
    <w:rsid w:val="00DA7FB2"/>
    <w:rsid w:val="00DB1B32"/>
    <w:rsid w:val="00DC003C"/>
    <w:rsid w:val="00DD3AED"/>
    <w:rsid w:val="00DD7EF5"/>
    <w:rsid w:val="00DE3F30"/>
    <w:rsid w:val="00DE6371"/>
    <w:rsid w:val="00DF680E"/>
    <w:rsid w:val="00DF6B52"/>
    <w:rsid w:val="00DF6ED1"/>
    <w:rsid w:val="00E004B3"/>
    <w:rsid w:val="00E045A1"/>
    <w:rsid w:val="00E05F14"/>
    <w:rsid w:val="00E34197"/>
    <w:rsid w:val="00E346D9"/>
    <w:rsid w:val="00E35342"/>
    <w:rsid w:val="00E37D24"/>
    <w:rsid w:val="00E42D17"/>
    <w:rsid w:val="00E45DE3"/>
    <w:rsid w:val="00E55267"/>
    <w:rsid w:val="00E6259B"/>
    <w:rsid w:val="00E651E7"/>
    <w:rsid w:val="00E7489C"/>
    <w:rsid w:val="00E80F1A"/>
    <w:rsid w:val="00E93144"/>
    <w:rsid w:val="00E94AE3"/>
    <w:rsid w:val="00E94D72"/>
    <w:rsid w:val="00E97200"/>
    <w:rsid w:val="00EA1BDF"/>
    <w:rsid w:val="00EA33B5"/>
    <w:rsid w:val="00EB06B3"/>
    <w:rsid w:val="00EC68D2"/>
    <w:rsid w:val="00ED2721"/>
    <w:rsid w:val="00EE3616"/>
    <w:rsid w:val="00EE767A"/>
    <w:rsid w:val="00EE7CBE"/>
    <w:rsid w:val="00EF1359"/>
    <w:rsid w:val="00EF3E70"/>
    <w:rsid w:val="00EF6444"/>
    <w:rsid w:val="00F014D0"/>
    <w:rsid w:val="00F03176"/>
    <w:rsid w:val="00F10E67"/>
    <w:rsid w:val="00F1226B"/>
    <w:rsid w:val="00F14F18"/>
    <w:rsid w:val="00F21023"/>
    <w:rsid w:val="00F24A0A"/>
    <w:rsid w:val="00F24F41"/>
    <w:rsid w:val="00F3045D"/>
    <w:rsid w:val="00F334E7"/>
    <w:rsid w:val="00F34FB6"/>
    <w:rsid w:val="00F40B3B"/>
    <w:rsid w:val="00F416BB"/>
    <w:rsid w:val="00F41E6B"/>
    <w:rsid w:val="00F4331E"/>
    <w:rsid w:val="00F4416C"/>
    <w:rsid w:val="00F46485"/>
    <w:rsid w:val="00F51391"/>
    <w:rsid w:val="00F53ED9"/>
    <w:rsid w:val="00F57538"/>
    <w:rsid w:val="00F810D3"/>
    <w:rsid w:val="00F81B17"/>
    <w:rsid w:val="00F842FE"/>
    <w:rsid w:val="00F85372"/>
    <w:rsid w:val="00F8698F"/>
    <w:rsid w:val="00F95DCB"/>
    <w:rsid w:val="00F96F19"/>
    <w:rsid w:val="00FA4991"/>
    <w:rsid w:val="00FA4B6C"/>
    <w:rsid w:val="00FB20A2"/>
    <w:rsid w:val="00FC1C3E"/>
    <w:rsid w:val="00FC2074"/>
    <w:rsid w:val="00FD01C1"/>
    <w:rsid w:val="00FD1799"/>
    <w:rsid w:val="00FD42F9"/>
    <w:rsid w:val="00FE3B62"/>
    <w:rsid w:val="00FF3BEE"/>
    <w:rsid w:val="00FF50B2"/>
    <w:rsid w:val="00FF5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D008"/>
  <w15:chartTrackingRefBased/>
  <w15:docId w15:val="{BB181CB0-665F-4B3A-8DD6-D234D6C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11393"/>
    <w:pPr>
      <w:keepNext/>
      <w:keepLines/>
      <w:spacing w:before="240" w:after="0"/>
      <w:outlineLvl w:val="0"/>
    </w:pPr>
    <w:rPr>
      <w:rFonts w:asciiTheme="majorHAnsi" w:eastAsiaTheme="majorEastAsia" w:hAnsiTheme="majorHAnsi" w:cstheme="majorBidi"/>
      <w:b/>
      <w:sz w:val="36"/>
      <w:szCs w:val="32"/>
    </w:rPr>
  </w:style>
  <w:style w:type="paragraph" w:styleId="Nadpis2">
    <w:name w:val="heading 2"/>
    <w:basedOn w:val="Normln"/>
    <w:next w:val="Normln"/>
    <w:link w:val="Nadpis2Char"/>
    <w:uiPriority w:val="9"/>
    <w:unhideWhenUsed/>
    <w:qFormat/>
    <w:rsid w:val="00C11393"/>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C60B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4C76"/>
    <w:pPr>
      <w:ind w:left="720"/>
      <w:contextualSpacing/>
    </w:pPr>
  </w:style>
  <w:style w:type="paragraph" w:customStyle="1" w:styleId="psmeno">
    <w:name w:val="písmeno"/>
    <w:basedOn w:val="slovanseznam"/>
    <w:rsid w:val="00422367"/>
    <w:pPr>
      <w:numPr>
        <w:numId w:val="0"/>
      </w:numPr>
      <w:tabs>
        <w:tab w:val="left" w:pos="357"/>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styleId="Textpoznpodarou">
    <w:name w:val="footnote text"/>
    <w:basedOn w:val="Normln"/>
    <w:link w:val="TextpoznpodarouChar"/>
    <w:rsid w:val="00422367"/>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rsid w:val="00422367"/>
    <w:rPr>
      <w:rFonts w:ascii="Times New Roman" w:eastAsia="Times New Roman" w:hAnsi="Times New Roman" w:cs="Times New Roman"/>
      <w:noProof/>
      <w:sz w:val="20"/>
      <w:szCs w:val="20"/>
      <w:lang w:eastAsia="cs-CZ"/>
    </w:rPr>
  </w:style>
  <w:style w:type="character" w:styleId="Znakapoznpodarou">
    <w:name w:val="footnote reference"/>
    <w:aliases w:val="EN Footnote Reference"/>
    <w:rsid w:val="00422367"/>
    <w:rPr>
      <w:vertAlign w:val="superscript"/>
    </w:rPr>
  </w:style>
  <w:style w:type="paragraph" w:styleId="slovanseznam">
    <w:name w:val="List Number"/>
    <w:basedOn w:val="Normln"/>
    <w:uiPriority w:val="99"/>
    <w:unhideWhenUsed/>
    <w:rsid w:val="00422367"/>
    <w:pPr>
      <w:numPr>
        <w:numId w:val="7"/>
      </w:numPr>
      <w:tabs>
        <w:tab w:val="num" w:pos="360"/>
      </w:tabs>
      <w:ind w:left="0" w:firstLine="0"/>
      <w:contextualSpacing/>
    </w:pPr>
  </w:style>
  <w:style w:type="table" w:styleId="Mkatabulky">
    <w:name w:val="Table Grid"/>
    <w:basedOn w:val="Normlntabulka"/>
    <w:uiPriority w:val="39"/>
    <w:rsid w:val="00AA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rsid w:val="008368CC"/>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styleId="Odkaznakoment">
    <w:name w:val="annotation reference"/>
    <w:basedOn w:val="Standardnpsmoodstavce"/>
    <w:uiPriority w:val="99"/>
    <w:semiHidden/>
    <w:unhideWhenUsed/>
    <w:rsid w:val="00647CD3"/>
    <w:rPr>
      <w:sz w:val="16"/>
      <w:szCs w:val="16"/>
    </w:rPr>
  </w:style>
  <w:style w:type="paragraph" w:styleId="Textkomente">
    <w:name w:val="annotation text"/>
    <w:basedOn w:val="Normln"/>
    <w:link w:val="TextkomenteChar"/>
    <w:uiPriority w:val="99"/>
    <w:semiHidden/>
    <w:unhideWhenUsed/>
    <w:rsid w:val="00647CD3"/>
    <w:pPr>
      <w:spacing w:line="240" w:lineRule="auto"/>
    </w:pPr>
    <w:rPr>
      <w:sz w:val="20"/>
      <w:szCs w:val="20"/>
    </w:rPr>
  </w:style>
  <w:style w:type="character" w:customStyle="1" w:styleId="TextkomenteChar">
    <w:name w:val="Text komentáře Char"/>
    <w:basedOn w:val="Standardnpsmoodstavce"/>
    <w:link w:val="Textkomente"/>
    <w:uiPriority w:val="99"/>
    <w:semiHidden/>
    <w:rsid w:val="00647CD3"/>
    <w:rPr>
      <w:sz w:val="20"/>
      <w:szCs w:val="20"/>
    </w:rPr>
  </w:style>
  <w:style w:type="paragraph" w:styleId="Pedmtkomente">
    <w:name w:val="annotation subject"/>
    <w:basedOn w:val="Textkomente"/>
    <w:next w:val="Textkomente"/>
    <w:link w:val="PedmtkomenteChar"/>
    <w:uiPriority w:val="99"/>
    <w:semiHidden/>
    <w:unhideWhenUsed/>
    <w:rsid w:val="00647CD3"/>
    <w:rPr>
      <w:b/>
      <w:bCs/>
    </w:rPr>
  </w:style>
  <w:style w:type="character" w:customStyle="1" w:styleId="PedmtkomenteChar">
    <w:name w:val="Předmět komentáře Char"/>
    <w:basedOn w:val="TextkomenteChar"/>
    <w:link w:val="Pedmtkomente"/>
    <w:uiPriority w:val="99"/>
    <w:semiHidden/>
    <w:rsid w:val="00647CD3"/>
    <w:rPr>
      <w:b/>
      <w:bCs/>
      <w:sz w:val="20"/>
      <w:szCs w:val="20"/>
    </w:rPr>
  </w:style>
  <w:style w:type="paragraph" w:styleId="Textbubliny">
    <w:name w:val="Balloon Text"/>
    <w:basedOn w:val="Normln"/>
    <w:link w:val="TextbublinyChar"/>
    <w:uiPriority w:val="99"/>
    <w:semiHidden/>
    <w:unhideWhenUsed/>
    <w:rsid w:val="00647C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7CD3"/>
    <w:rPr>
      <w:rFonts w:ascii="Segoe UI" w:hAnsi="Segoe UI" w:cs="Segoe UI"/>
      <w:sz w:val="18"/>
      <w:szCs w:val="18"/>
    </w:rPr>
  </w:style>
  <w:style w:type="character" w:customStyle="1" w:styleId="oj-sub">
    <w:name w:val="oj-sub"/>
    <w:basedOn w:val="Standardnpsmoodstavce"/>
    <w:rsid w:val="00F24A0A"/>
  </w:style>
  <w:style w:type="paragraph" w:styleId="Zhlav">
    <w:name w:val="header"/>
    <w:basedOn w:val="Normln"/>
    <w:link w:val="ZhlavChar"/>
    <w:uiPriority w:val="99"/>
    <w:unhideWhenUsed/>
    <w:rsid w:val="007105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5D8"/>
  </w:style>
  <w:style w:type="paragraph" w:styleId="Zpat">
    <w:name w:val="footer"/>
    <w:basedOn w:val="Normln"/>
    <w:link w:val="ZpatChar"/>
    <w:uiPriority w:val="99"/>
    <w:unhideWhenUsed/>
    <w:rsid w:val="007105D8"/>
    <w:pPr>
      <w:tabs>
        <w:tab w:val="center" w:pos="4536"/>
        <w:tab w:val="right" w:pos="9072"/>
      </w:tabs>
      <w:spacing w:after="0" w:line="240" w:lineRule="auto"/>
    </w:pPr>
  </w:style>
  <w:style w:type="character" w:customStyle="1" w:styleId="ZpatChar">
    <w:name w:val="Zápatí Char"/>
    <w:basedOn w:val="Standardnpsmoodstavce"/>
    <w:link w:val="Zpat"/>
    <w:uiPriority w:val="99"/>
    <w:rsid w:val="007105D8"/>
  </w:style>
  <w:style w:type="paragraph" w:styleId="Revize">
    <w:name w:val="Revision"/>
    <w:hidden/>
    <w:uiPriority w:val="99"/>
    <w:semiHidden/>
    <w:rsid w:val="00514052"/>
    <w:pPr>
      <w:spacing w:after="0" w:line="240" w:lineRule="auto"/>
    </w:pPr>
  </w:style>
  <w:style w:type="character" w:styleId="Hypertextovodkaz">
    <w:name w:val="Hyperlink"/>
    <w:basedOn w:val="Standardnpsmoodstavce"/>
    <w:uiPriority w:val="99"/>
    <w:unhideWhenUsed/>
    <w:rsid w:val="0089281D"/>
    <w:rPr>
      <w:color w:val="0563C1" w:themeColor="hyperlink"/>
      <w:u w:val="single"/>
    </w:rPr>
  </w:style>
  <w:style w:type="character" w:styleId="Sledovanodkaz">
    <w:name w:val="FollowedHyperlink"/>
    <w:basedOn w:val="Standardnpsmoodstavce"/>
    <w:uiPriority w:val="99"/>
    <w:semiHidden/>
    <w:unhideWhenUsed/>
    <w:rsid w:val="0089281D"/>
    <w:rPr>
      <w:color w:val="954F72" w:themeColor="followedHyperlink"/>
      <w:u w:val="single"/>
    </w:rPr>
  </w:style>
  <w:style w:type="character" w:customStyle="1" w:styleId="Nadpis1Char">
    <w:name w:val="Nadpis 1 Char"/>
    <w:basedOn w:val="Standardnpsmoodstavce"/>
    <w:link w:val="Nadpis1"/>
    <w:uiPriority w:val="9"/>
    <w:rsid w:val="00C11393"/>
    <w:rPr>
      <w:rFonts w:asciiTheme="majorHAnsi" w:eastAsiaTheme="majorEastAsia" w:hAnsiTheme="majorHAnsi" w:cstheme="majorBidi"/>
      <w:b/>
      <w:sz w:val="36"/>
      <w:szCs w:val="32"/>
    </w:rPr>
  </w:style>
  <w:style w:type="paragraph" w:styleId="Nadpisobsahu">
    <w:name w:val="TOC Heading"/>
    <w:basedOn w:val="Nadpis1"/>
    <w:next w:val="Normln"/>
    <w:uiPriority w:val="39"/>
    <w:unhideWhenUsed/>
    <w:qFormat/>
    <w:rsid w:val="00010E57"/>
    <w:pPr>
      <w:outlineLvl w:val="9"/>
    </w:pPr>
    <w:rPr>
      <w:lang w:eastAsia="cs-CZ"/>
    </w:rPr>
  </w:style>
  <w:style w:type="paragraph" w:styleId="Obsah2">
    <w:name w:val="toc 2"/>
    <w:basedOn w:val="Normln"/>
    <w:next w:val="Normln"/>
    <w:autoRedefine/>
    <w:uiPriority w:val="39"/>
    <w:unhideWhenUsed/>
    <w:rsid w:val="00010E57"/>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C11393"/>
    <w:pPr>
      <w:tabs>
        <w:tab w:val="right" w:pos="9062"/>
      </w:tabs>
      <w:spacing w:after="100"/>
    </w:pPr>
    <w:rPr>
      <w:rFonts w:eastAsiaTheme="minorEastAsia" w:cs="Times New Roman"/>
      <w:b/>
      <w:noProof/>
      <w:lang w:eastAsia="cs-CZ"/>
    </w:rPr>
  </w:style>
  <w:style w:type="paragraph" w:styleId="Obsah3">
    <w:name w:val="toc 3"/>
    <w:basedOn w:val="Normln"/>
    <w:next w:val="Normln"/>
    <w:autoRedefine/>
    <w:uiPriority w:val="39"/>
    <w:unhideWhenUsed/>
    <w:rsid w:val="00010E57"/>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C11393"/>
    <w:rPr>
      <w:rFonts w:asciiTheme="majorHAnsi" w:eastAsiaTheme="majorEastAsia" w:hAnsiTheme="majorHAnsi" w:cstheme="majorBidi"/>
      <w:b/>
      <w:sz w:val="28"/>
      <w:szCs w:val="26"/>
    </w:rPr>
  </w:style>
  <w:style w:type="character" w:customStyle="1" w:styleId="Nadpis3Char">
    <w:name w:val="Nadpis 3 Char"/>
    <w:basedOn w:val="Standardnpsmoodstavce"/>
    <w:link w:val="Nadpis3"/>
    <w:uiPriority w:val="9"/>
    <w:rsid w:val="00C60B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9670">
      <w:bodyDiv w:val="1"/>
      <w:marLeft w:val="0"/>
      <w:marRight w:val="0"/>
      <w:marTop w:val="0"/>
      <w:marBottom w:val="0"/>
      <w:divBdr>
        <w:top w:val="none" w:sz="0" w:space="0" w:color="auto"/>
        <w:left w:val="none" w:sz="0" w:space="0" w:color="auto"/>
        <w:bottom w:val="none" w:sz="0" w:space="0" w:color="auto"/>
        <w:right w:val="none" w:sz="0" w:space="0" w:color="auto"/>
      </w:divBdr>
    </w:div>
    <w:div w:id="564684090">
      <w:bodyDiv w:val="1"/>
      <w:marLeft w:val="0"/>
      <w:marRight w:val="0"/>
      <w:marTop w:val="0"/>
      <w:marBottom w:val="0"/>
      <w:divBdr>
        <w:top w:val="none" w:sz="0" w:space="0" w:color="auto"/>
        <w:left w:val="none" w:sz="0" w:space="0" w:color="auto"/>
        <w:bottom w:val="none" w:sz="0" w:space="0" w:color="auto"/>
        <w:right w:val="none" w:sz="0" w:space="0" w:color="auto"/>
      </w:divBdr>
    </w:div>
    <w:div w:id="855532738">
      <w:bodyDiv w:val="1"/>
      <w:marLeft w:val="0"/>
      <w:marRight w:val="0"/>
      <w:marTop w:val="0"/>
      <w:marBottom w:val="0"/>
      <w:divBdr>
        <w:top w:val="none" w:sz="0" w:space="0" w:color="auto"/>
        <w:left w:val="none" w:sz="0" w:space="0" w:color="auto"/>
        <w:bottom w:val="none" w:sz="0" w:space="0" w:color="auto"/>
        <w:right w:val="none" w:sz="0" w:space="0" w:color="auto"/>
      </w:divBdr>
    </w:div>
    <w:div w:id="1234314703">
      <w:bodyDiv w:val="1"/>
      <w:marLeft w:val="0"/>
      <w:marRight w:val="0"/>
      <w:marTop w:val="0"/>
      <w:marBottom w:val="0"/>
      <w:divBdr>
        <w:top w:val="none" w:sz="0" w:space="0" w:color="auto"/>
        <w:left w:val="none" w:sz="0" w:space="0" w:color="auto"/>
        <w:bottom w:val="none" w:sz="0" w:space="0" w:color="auto"/>
        <w:right w:val="none" w:sz="0" w:space="0" w:color="auto"/>
      </w:divBdr>
    </w:div>
    <w:div w:id="1352805045">
      <w:bodyDiv w:val="1"/>
      <w:marLeft w:val="0"/>
      <w:marRight w:val="0"/>
      <w:marTop w:val="0"/>
      <w:marBottom w:val="0"/>
      <w:divBdr>
        <w:top w:val="none" w:sz="0" w:space="0" w:color="auto"/>
        <w:left w:val="none" w:sz="0" w:space="0" w:color="auto"/>
        <w:bottom w:val="none" w:sz="0" w:space="0" w:color="auto"/>
        <w:right w:val="none" w:sz="0" w:space="0" w:color="auto"/>
      </w:divBdr>
    </w:div>
    <w:div w:id="1511725299">
      <w:bodyDiv w:val="1"/>
      <w:marLeft w:val="0"/>
      <w:marRight w:val="0"/>
      <w:marTop w:val="0"/>
      <w:marBottom w:val="0"/>
      <w:divBdr>
        <w:top w:val="none" w:sz="0" w:space="0" w:color="auto"/>
        <w:left w:val="none" w:sz="0" w:space="0" w:color="auto"/>
        <w:bottom w:val="none" w:sz="0" w:space="0" w:color="auto"/>
        <w:right w:val="none" w:sz="0" w:space="0" w:color="auto"/>
      </w:divBdr>
      <w:divsChild>
        <w:div w:id="1528909782">
          <w:marLeft w:val="0"/>
          <w:marRight w:val="0"/>
          <w:marTop w:val="0"/>
          <w:marBottom w:val="0"/>
          <w:divBdr>
            <w:top w:val="none" w:sz="0" w:space="0" w:color="auto"/>
            <w:left w:val="none" w:sz="0" w:space="0" w:color="auto"/>
            <w:bottom w:val="none" w:sz="0" w:space="0" w:color="auto"/>
            <w:right w:val="none" w:sz="0" w:space="0" w:color="auto"/>
          </w:divBdr>
          <w:divsChild>
            <w:div w:id="2024167832">
              <w:marLeft w:val="0"/>
              <w:marRight w:val="0"/>
              <w:marTop w:val="0"/>
              <w:marBottom w:val="0"/>
              <w:divBdr>
                <w:top w:val="none" w:sz="0" w:space="0" w:color="auto"/>
                <w:left w:val="none" w:sz="0" w:space="0" w:color="auto"/>
                <w:bottom w:val="none" w:sz="0" w:space="0" w:color="auto"/>
                <w:right w:val="none" w:sz="0" w:space="0" w:color="auto"/>
              </w:divBdr>
            </w:div>
            <w:div w:id="1031344052">
              <w:marLeft w:val="0"/>
              <w:marRight w:val="0"/>
              <w:marTop w:val="0"/>
              <w:marBottom w:val="0"/>
              <w:divBdr>
                <w:top w:val="none" w:sz="0" w:space="0" w:color="auto"/>
                <w:left w:val="none" w:sz="0" w:space="0" w:color="auto"/>
                <w:bottom w:val="none" w:sz="0" w:space="0" w:color="auto"/>
                <w:right w:val="none" w:sz="0" w:space="0" w:color="auto"/>
              </w:divBdr>
            </w:div>
            <w:div w:id="32461055">
              <w:marLeft w:val="0"/>
              <w:marRight w:val="0"/>
              <w:marTop w:val="0"/>
              <w:marBottom w:val="0"/>
              <w:divBdr>
                <w:top w:val="none" w:sz="0" w:space="0" w:color="auto"/>
                <w:left w:val="none" w:sz="0" w:space="0" w:color="auto"/>
                <w:bottom w:val="none" w:sz="0" w:space="0" w:color="auto"/>
                <w:right w:val="none" w:sz="0" w:space="0" w:color="auto"/>
              </w:divBdr>
            </w:div>
            <w:div w:id="1414204442">
              <w:marLeft w:val="0"/>
              <w:marRight w:val="0"/>
              <w:marTop w:val="0"/>
              <w:marBottom w:val="0"/>
              <w:divBdr>
                <w:top w:val="none" w:sz="0" w:space="0" w:color="auto"/>
                <w:left w:val="none" w:sz="0" w:space="0" w:color="auto"/>
                <w:bottom w:val="none" w:sz="0" w:space="0" w:color="auto"/>
                <w:right w:val="none" w:sz="0" w:space="0" w:color="auto"/>
              </w:divBdr>
            </w:div>
            <w:div w:id="1223491884">
              <w:marLeft w:val="0"/>
              <w:marRight w:val="0"/>
              <w:marTop w:val="0"/>
              <w:marBottom w:val="0"/>
              <w:divBdr>
                <w:top w:val="none" w:sz="0" w:space="0" w:color="auto"/>
                <w:left w:val="none" w:sz="0" w:space="0" w:color="auto"/>
                <w:bottom w:val="none" w:sz="0" w:space="0" w:color="auto"/>
                <w:right w:val="none" w:sz="0" w:space="0" w:color="auto"/>
              </w:divBdr>
            </w:div>
            <w:div w:id="20521770">
              <w:marLeft w:val="0"/>
              <w:marRight w:val="0"/>
              <w:marTop w:val="0"/>
              <w:marBottom w:val="0"/>
              <w:divBdr>
                <w:top w:val="none" w:sz="0" w:space="0" w:color="auto"/>
                <w:left w:val="none" w:sz="0" w:space="0" w:color="auto"/>
                <w:bottom w:val="none" w:sz="0" w:space="0" w:color="auto"/>
                <w:right w:val="none" w:sz="0" w:space="0" w:color="auto"/>
              </w:divBdr>
            </w:div>
            <w:div w:id="655259294">
              <w:marLeft w:val="0"/>
              <w:marRight w:val="0"/>
              <w:marTop w:val="0"/>
              <w:marBottom w:val="0"/>
              <w:divBdr>
                <w:top w:val="none" w:sz="0" w:space="0" w:color="auto"/>
                <w:left w:val="none" w:sz="0" w:space="0" w:color="auto"/>
                <w:bottom w:val="none" w:sz="0" w:space="0" w:color="auto"/>
                <w:right w:val="none" w:sz="0" w:space="0" w:color="auto"/>
              </w:divBdr>
            </w:div>
            <w:div w:id="835414560">
              <w:marLeft w:val="0"/>
              <w:marRight w:val="0"/>
              <w:marTop w:val="0"/>
              <w:marBottom w:val="0"/>
              <w:divBdr>
                <w:top w:val="none" w:sz="0" w:space="0" w:color="auto"/>
                <w:left w:val="none" w:sz="0" w:space="0" w:color="auto"/>
                <w:bottom w:val="none" w:sz="0" w:space="0" w:color="auto"/>
                <w:right w:val="none" w:sz="0" w:space="0" w:color="auto"/>
              </w:divBdr>
            </w:div>
            <w:div w:id="14623298">
              <w:marLeft w:val="0"/>
              <w:marRight w:val="0"/>
              <w:marTop w:val="0"/>
              <w:marBottom w:val="0"/>
              <w:divBdr>
                <w:top w:val="none" w:sz="0" w:space="0" w:color="auto"/>
                <w:left w:val="none" w:sz="0" w:space="0" w:color="auto"/>
                <w:bottom w:val="none" w:sz="0" w:space="0" w:color="auto"/>
                <w:right w:val="none" w:sz="0" w:space="0" w:color="auto"/>
              </w:divBdr>
            </w:div>
            <w:div w:id="1592927756">
              <w:marLeft w:val="0"/>
              <w:marRight w:val="0"/>
              <w:marTop w:val="0"/>
              <w:marBottom w:val="0"/>
              <w:divBdr>
                <w:top w:val="none" w:sz="0" w:space="0" w:color="auto"/>
                <w:left w:val="none" w:sz="0" w:space="0" w:color="auto"/>
                <w:bottom w:val="none" w:sz="0" w:space="0" w:color="auto"/>
                <w:right w:val="none" w:sz="0" w:space="0" w:color="auto"/>
              </w:divBdr>
            </w:div>
            <w:div w:id="678235636">
              <w:marLeft w:val="0"/>
              <w:marRight w:val="0"/>
              <w:marTop w:val="0"/>
              <w:marBottom w:val="0"/>
              <w:divBdr>
                <w:top w:val="none" w:sz="0" w:space="0" w:color="auto"/>
                <w:left w:val="none" w:sz="0" w:space="0" w:color="auto"/>
                <w:bottom w:val="none" w:sz="0" w:space="0" w:color="auto"/>
                <w:right w:val="none" w:sz="0" w:space="0" w:color="auto"/>
              </w:divBdr>
            </w:div>
            <w:div w:id="1359693744">
              <w:marLeft w:val="0"/>
              <w:marRight w:val="0"/>
              <w:marTop w:val="0"/>
              <w:marBottom w:val="0"/>
              <w:divBdr>
                <w:top w:val="none" w:sz="0" w:space="0" w:color="auto"/>
                <w:left w:val="none" w:sz="0" w:space="0" w:color="auto"/>
                <w:bottom w:val="none" w:sz="0" w:space="0" w:color="auto"/>
                <w:right w:val="none" w:sz="0" w:space="0" w:color="auto"/>
              </w:divBdr>
            </w:div>
            <w:div w:id="910778045">
              <w:marLeft w:val="0"/>
              <w:marRight w:val="0"/>
              <w:marTop w:val="0"/>
              <w:marBottom w:val="0"/>
              <w:divBdr>
                <w:top w:val="none" w:sz="0" w:space="0" w:color="auto"/>
                <w:left w:val="none" w:sz="0" w:space="0" w:color="auto"/>
                <w:bottom w:val="none" w:sz="0" w:space="0" w:color="auto"/>
                <w:right w:val="none" w:sz="0" w:space="0" w:color="auto"/>
              </w:divBdr>
            </w:div>
            <w:div w:id="232203099">
              <w:marLeft w:val="0"/>
              <w:marRight w:val="0"/>
              <w:marTop w:val="0"/>
              <w:marBottom w:val="0"/>
              <w:divBdr>
                <w:top w:val="none" w:sz="0" w:space="0" w:color="auto"/>
                <w:left w:val="none" w:sz="0" w:space="0" w:color="auto"/>
                <w:bottom w:val="none" w:sz="0" w:space="0" w:color="auto"/>
                <w:right w:val="none" w:sz="0" w:space="0" w:color="auto"/>
              </w:divBdr>
            </w:div>
            <w:div w:id="1717006256">
              <w:marLeft w:val="0"/>
              <w:marRight w:val="0"/>
              <w:marTop w:val="0"/>
              <w:marBottom w:val="0"/>
              <w:divBdr>
                <w:top w:val="none" w:sz="0" w:space="0" w:color="auto"/>
                <w:left w:val="none" w:sz="0" w:space="0" w:color="auto"/>
                <w:bottom w:val="none" w:sz="0" w:space="0" w:color="auto"/>
                <w:right w:val="none" w:sz="0" w:space="0" w:color="auto"/>
              </w:divBdr>
            </w:div>
            <w:div w:id="1617448337">
              <w:marLeft w:val="0"/>
              <w:marRight w:val="0"/>
              <w:marTop w:val="0"/>
              <w:marBottom w:val="0"/>
              <w:divBdr>
                <w:top w:val="none" w:sz="0" w:space="0" w:color="auto"/>
                <w:left w:val="none" w:sz="0" w:space="0" w:color="auto"/>
                <w:bottom w:val="none" w:sz="0" w:space="0" w:color="auto"/>
                <w:right w:val="none" w:sz="0" w:space="0" w:color="auto"/>
              </w:divBdr>
            </w:div>
            <w:div w:id="1441412087">
              <w:marLeft w:val="0"/>
              <w:marRight w:val="0"/>
              <w:marTop w:val="0"/>
              <w:marBottom w:val="0"/>
              <w:divBdr>
                <w:top w:val="none" w:sz="0" w:space="0" w:color="auto"/>
                <w:left w:val="none" w:sz="0" w:space="0" w:color="auto"/>
                <w:bottom w:val="none" w:sz="0" w:space="0" w:color="auto"/>
                <w:right w:val="none" w:sz="0" w:space="0" w:color="auto"/>
              </w:divBdr>
            </w:div>
            <w:div w:id="734278489">
              <w:marLeft w:val="0"/>
              <w:marRight w:val="0"/>
              <w:marTop w:val="0"/>
              <w:marBottom w:val="0"/>
              <w:divBdr>
                <w:top w:val="none" w:sz="0" w:space="0" w:color="auto"/>
                <w:left w:val="none" w:sz="0" w:space="0" w:color="auto"/>
                <w:bottom w:val="none" w:sz="0" w:space="0" w:color="auto"/>
                <w:right w:val="none" w:sz="0" w:space="0" w:color="auto"/>
              </w:divBdr>
            </w:div>
            <w:div w:id="2076932928">
              <w:marLeft w:val="0"/>
              <w:marRight w:val="0"/>
              <w:marTop w:val="0"/>
              <w:marBottom w:val="0"/>
              <w:divBdr>
                <w:top w:val="none" w:sz="0" w:space="0" w:color="auto"/>
                <w:left w:val="none" w:sz="0" w:space="0" w:color="auto"/>
                <w:bottom w:val="none" w:sz="0" w:space="0" w:color="auto"/>
                <w:right w:val="none" w:sz="0" w:space="0" w:color="auto"/>
              </w:divBdr>
            </w:div>
            <w:div w:id="1837768746">
              <w:marLeft w:val="0"/>
              <w:marRight w:val="0"/>
              <w:marTop w:val="0"/>
              <w:marBottom w:val="0"/>
              <w:divBdr>
                <w:top w:val="none" w:sz="0" w:space="0" w:color="auto"/>
                <w:left w:val="none" w:sz="0" w:space="0" w:color="auto"/>
                <w:bottom w:val="none" w:sz="0" w:space="0" w:color="auto"/>
                <w:right w:val="none" w:sz="0" w:space="0" w:color="auto"/>
              </w:divBdr>
            </w:div>
            <w:div w:id="1951626348">
              <w:marLeft w:val="0"/>
              <w:marRight w:val="0"/>
              <w:marTop w:val="0"/>
              <w:marBottom w:val="0"/>
              <w:divBdr>
                <w:top w:val="none" w:sz="0" w:space="0" w:color="auto"/>
                <w:left w:val="none" w:sz="0" w:space="0" w:color="auto"/>
                <w:bottom w:val="none" w:sz="0" w:space="0" w:color="auto"/>
                <w:right w:val="none" w:sz="0" w:space="0" w:color="auto"/>
              </w:divBdr>
            </w:div>
            <w:div w:id="1998919987">
              <w:marLeft w:val="0"/>
              <w:marRight w:val="0"/>
              <w:marTop w:val="0"/>
              <w:marBottom w:val="0"/>
              <w:divBdr>
                <w:top w:val="none" w:sz="0" w:space="0" w:color="auto"/>
                <w:left w:val="none" w:sz="0" w:space="0" w:color="auto"/>
                <w:bottom w:val="none" w:sz="0" w:space="0" w:color="auto"/>
                <w:right w:val="none" w:sz="0" w:space="0" w:color="auto"/>
              </w:divBdr>
            </w:div>
            <w:div w:id="1129015230">
              <w:marLeft w:val="0"/>
              <w:marRight w:val="0"/>
              <w:marTop w:val="0"/>
              <w:marBottom w:val="0"/>
              <w:divBdr>
                <w:top w:val="none" w:sz="0" w:space="0" w:color="auto"/>
                <w:left w:val="none" w:sz="0" w:space="0" w:color="auto"/>
                <w:bottom w:val="none" w:sz="0" w:space="0" w:color="auto"/>
                <w:right w:val="none" w:sz="0" w:space="0" w:color="auto"/>
              </w:divBdr>
            </w:div>
            <w:div w:id="372269103">
              <w:marLeft w:val="0"/>
              <w:marRight w:val="0"/>
              <w:marTop w:val="0"/>
              <w:marBottom w:val="0"/>
              <w:divBdr>
                <w:top w:val="none" w:sz="0" w:space="0" w:color="auto"/>
                <w:left w:val="none" w:sz="0" w:space="0" w:color="auto"/>
                <w:bottom w:val="none" w:sz="0" w:space="0" w:color="auto"/>
                <w:right w:val="none" w:sz="0" w:space="0" w:color="auto"/>
              </w:divBdr>
            </w:div>
            <w:div w:id="535506517">
              <w:marLeft w:val="0"/>
              <w:marRight w:val="0"/>
              <w:marTop w:val="0"/>
              <w:marBottom w:val="0"/>
              <w:divBdr>
                <w:top w:val="none" w:sz="0" w:space="0" w:color="auto"/>
                <w:left w:val="none" w:sz="0" w:space="0" w:color="auto"/>
                <w:bottom w:val="none" w:sz="0" w:space="0" w:color="auto"/>
                <w:right w:val="none" w:sz="0" w:space="0" w:color="auto"/>
              </w:divBdr>
            </w:div>
            <w:div w:id="391390522">
              <w:marLeft w:val="0"/>
              <w:marRight w:val="0"/>
              <w:marTop w:val="0"/>
              <w:marBottom w:val="0"/>
              <w:divBdr>
                <w:top w:val="none" w:sz="0" w:space="0" w:color="auto"/>
                <w:left w:val="none" w:sz="0" w:space="0" w:color="auto"/>
                <w:bottom w:val="none" w:sz="0" w:space="0" w:color="auto"/>
                <w:right w:val="none" w:sz="0" w:space="0" w:color="auto"/>
              </w:divBdr>
            </w:div>
            <w:div w:id="1030959191">
              <w:marLeft w:val="0"/>
              <w:marRight w:val="0"/>
              <w:marTop w:val="0"/>
              <w:marBottom w:val="0"/>
              <w:divBdr>
                <w:top w:val="none" w:sz="0" w:space="0" w:color="auto"/>
                <w:left w:val="none" w:sz="0" w:space="0" w:color="auto"/>
                <w:bottom w:val="none" w:sz="0" w:space="0" w:color="auto"/>
                <w:right w:val="none" w:sz="0" w:space="0" w:color="auto"/>
              </w:divBdr>
            </w:div>
            <w:div w:id="2137940622">
              <w:marLeft w:val="0"/>
              <w:marRight w:val="0"/>
              <w:marTop w:val="0"/>
              <w:marBottom w:val="0"/>
              <w:divBdr>
                <w:top w:val="none" w:sz="0" w:space="0" w:color="auto"/>
                <w:left w:val="none" w:sz="0" w:space="0" w:color="auto"/>
                <w:bottom w:val="none" w:sz="0" w:space="0" w:color="auto"/>
                <w:right w:val="none" w:sz="0" w:space="0" w:color="auto"/>
              </w:divBdr>
            </w:div>
            <w:div w:id="327949717">
              <w:marLeft w:val="0"/>
              <w:marRight w:val="0"/>
              <w:marTop w:val="0"/>
              <w:marBottom w:val="0"/>
              <w:divBdr>
                <w:top w:val="none" w:sz="0" w:space="0" w:color="auto"/>
                <w:left w:val="none" w:sz="0" w:space="0" w:color="auto"/>
                <w:bottom w:val="none" w:sz="0" w:space="0" w:color="auto"/>
                <w:right w:val="none" w:sz="0" w:space="0" w:color="auto"/>
              </w:divBdr>
            </w:div>
            <w:div w:id="1810586179">
              <w:marLeft w:val="0"/>
              <w:marRight w:val="0"/>
              <w:marTop w:val="0"/>
              <w:marBottom w:val="0"/>
              <w:divBdr>
                <w:top w:val="none" w:sz="0" w:space="0" w:color="auto"/>
                <w:left w:val="none" w:sz="0" w:space="0" w:color="auto"/>
                <w:bottom w:val="none" w:sz="0" w:space="0" w:color="auto"/>
                <w:right w:val="none" w:sz="0" w:space="0" w:color="auto"/>
              </w:divBdr>
            </w:div>
            <w:div w:id="1417674965">
              <w:marLeft w:val="0"/>
              <w:marRight w:val="0"/>
              <w:marTop w:val="0"/>
              <w:marBottom w:val="0"/>
              <w:divBdr>
                <w:top w:val="none" w:sz="0" w:space="0" w:color="auto"/>
                <w:left w:val="none" w:sz="0" w:space="0" w:color="auto"/>
                <w:bottom w:val="none" w:sz="0" w:space="0" w:color="auto"/>
                <w:right w:val="none" w:sz="0" w:space="0" w:color="auto"/>
              </w:divBdr>
            </w:div>
            <w:div w:id="1960718401">
              <w:marLeft w:val="0"/>
              <w:marRight w:val="0"/>
              <w:marTop w:val="0"/>
              <w:marBottom w:val="0"/>
              <w:divBdr>
                <w:top w:val="none" w:sz="0" w:space="0" w:color="auto"/>
                <w:left w:val="none" w:sz="0" w:space="0" w:color="auto"/>
                <w:bottom w:val="none" w:sz="0" w:space="0" w:color="auto"/>
                <w:right w:val="none" w:sz="0" w:space="0" w:color="auto"/>
              </w:divBdr>
            </w:div>
            <w:div w:id="854349050">
              <w:marLeft w:val="0"/>
              <w:marRight w:val="0"/>
              <w:marTop w:val="0"/>
              <w:marBottom w:val="0"/>
              <w:divBdr>
                <w:top w:val="none" w:sz="0" w:space="0" w:color="auto"/>
                <w:left w:val="none" w:sz="0" w:space="0" w:color="auto"/>
                <w:bottom w:val="none" w:sz="0" w:space="0" w:color="auto"/>
                <w:right w:val="none" w:sz="0" w:space="0" w:color="auto"/>
              </w:divBdr>
            </w:div>
            <w:div w:id="685247952">
              <w:marLeft w:val="0"/>
              <w:marRight w:val="0"/>
              <w:marTop w:val="0"/>
              <w:marBottom w:val="0"/>
              <w:divBdr>
                <w:top w:val="none" w:sz="0" w:space="0" w:color="auto"/>
                <w:left w:val="none" w:sz="0" w:space="0" w:color="auto"/>
                <w:bottom w:val="none" w:sz="0" w:space="0" w:color="auto"/>
                <w:right w:val="none" w:sz="0" w:space="0" w:color="auto"/>
              </w:divBdr>
            </w:div>
            <w:div w:id="2076931865">
              <w:marLeft w:val="0"/>
              <w:marRight w:val="0"/>
              <w:marTop w:val="0"/>
              <w:marBottom w:val="0"/>
              <w:divBdr>
                <w:top w:val="none" w:sz="0" w:space="0" w:color="auto"/>
                <w:left w:val="none" w:sz="0" w:space="0" w:color="auto"/>
                <w:bottom w:val="none" w:sz="0" w:space="0" w:color="auto"/>
                <w:right w:val="none" w:sz="0" w:space="0" w:color="auto"/>
              </w:divBdr>
            </w:div>
            <w:div w:id="643046491">
              <w:marLeft w:val="0"/>
              <w:marRight w:val="0"/>
              <w:marTop w:val="0"/>
              <w:marBottom w:val="0"/>
              <w:divBdr>
                <w:top w:val="none" w:sz="0" w:space="0" w:color="auto"/>
                <w:left w:val="none" w:sz="0" w:space="0" w:color="auto"/>
                <w:bottom w:val="none" w:sz="0" w:space="0" w:color="auto"/>
                <w:right w:val="none" w:sz="0" w:space="0" w:color="auto"/>
              </w:divBdr>
            </w:div>
            <w:div w:id="1771505974">
              <w:marLeft w:val="0"/>
              <w:marRight w:val="0"/>
              <w:marTop w:val="0"/>
              <w:marBottom w:val="0"/>
              <w:divBdr>
                <w:top w:val="none" w:sz="0" w:space="0" w:color="auto"/>
                <w:left w:val="none" w:sz="0" w:space="0" w:color="auto"/>
                <w:bottom w:val="none" w:sz="0" w:space="0" w:color="auto"/>
                <w:right w:val="none" w:sz="0" w:space="0" w:color="auto"/>
              </w:divBdr>
            </w:div>
            <w:div w:id="1995988875">
              <w:marLeft w:val="0"/>
              <w:marRight w:val="0"/>
              <w:marTop w:val="0"/>
              <w:marBottom w:val="0"/>
              <w:divBdr>
                <w:top w:val="none" w:sz="0" w:space="0" w:color="auto"/>
                <w:left w:val="none" w:sz="0" w:space="0" w:color="auto"/>
                <w:bottom w:val="none" w:sz="0" w:space="0" w:color="auto"/>
                <w:right w:val="none" w:sz="0" w:space="0" w:color="auto"/>
              </w:divBdr>
            </w:div>
            <w:div w:id="2065638540">
              <w:marLeft w:val="0"/>
              <w:marRight w:val="0"/>
              <w:marTop w:val="0"/>
              <w:marBottom w:val="0"/>
              <w:divBdr>
                <w:top w:val="none" w:sz="0" w:space="0" w:color="auto"/>
                <w:left w:val="none" w:sz="0" w:space="0" w:color="auto"/>
                <w:bottom w:val="none" w:sz="0" w:space="0" w:color="auto"/>
                <w:right w:val="none" w:sz="0" w:space="0" w:color="auto"/>
              </w:divBdr>
            </w:div>
            <w:div w:id="483088330">
              <w:marLeft w:val="0"/>
              <w:marRight w:val="0"/>
              <w:marTop w:val="0"/>
              <w:marBottom w:val="0"/>
              <w:divBdr>
                <w:top w:val="none" w:sz="0" w:space="0" w:color="auto"/>
                <w:left w:val="none" w:sz="0" w:space="0" w:color="auto"/>
                <w:bottom w:val="none" w:sz="0" w:space="0" w:color="auto"/>
                <w:right w:val="none" w:sz="0" w:space="0" w:color="auto"/>
              </w:divBdr>
            </w:div>
            <w:div w:id="142703944">
              <w:marLeft w:val="0"/>
              <w:marRight w:val="0"/>
              <w:marTop w:val="0"/>
              <w:marBottom w:val="0"/>
              <w:divBdr>
                <w:top w:val="none" w:sz="0" w:space="0" w:color="auto"/>
                <w:left w:val="none" w:sz="0" w:space="0" w:color="auto"/>
                <w:bottom w:val="none" w:sz="0" w:space="0" w:color="auto"/>
                <w:right w:val="none" w:sz="0" w:space="0" w:color="auto"/>
              </w:divBdr>
            </w:div>
            <w:div w:id="1312976024">
              <w:marLeft w:val="0"/>
              <w:marRight w:val="0"/>
              <w:marTop w:val="0"/>
              <w:marBottom w:val="0"/>
              <w:divBdr>
                <w:top w:val="none" w:sz="0" w:space="0" w:color="auto"/>
                <w:left w:val="none" w:sz="0" w:space="0" w:color="auto"/>
                <w:bottom w:val="none" w:sz="0" w:space="0" w:color="auto"/>
                <w:right w:val="none" w:sz="0" w:space="0" w:color="auto"/>
              </w:divBdr>
            </w:div>
            <w:div w:id="581765038">
              <w:marLeft w:val="0"/>
              <w:marRight w:val="0"/>
              <w:marTop w:val="0"/>
              <w:marBottom w:val="0"/>
              <w:divBdr>
                <w:top w:val="none" w:sz="0" w:space="0" w:color="auto"/>
                <w:left w:val="none" w:sz="0" w:space="0" w:color="auto"/>
                <w:bottom w:val="none" w:sz="0" w:space="0" w:color="auto"/>
                <w:right w:val="none" w:sz="0" w:space="0" w:color="auto"/>
              </w:divBdr>
            </w:div>
            <w:div w:id="391806645">
              <w:marLeft w:val="0"/>
              <w:marRight w:val="0"/>
              <w:marTop w:val="0"/>
              <w:marBottom w:val="0"/>
              <w:divBdr>
                <w:top w:val="none" w:sz="0" w:space="0" w:color="auto"/>
                <w:left w:val="none" w:sz="0" w:space="0" w:color="auto"/>
                <w:bottom w:val="none" w:sz="0" w:space="0" w:color="auto"/>
                <w:right w:val="none" w:sz="0" w:space="0" w:color="auto"/>
              </w:divBdr>
            </w:div>
            <w:div w:id="55395770">
              <w:marLeft w:val="0"/>
              <w:marRight w:val="0"/>
              <w:marTop w:val="0"/>
              <w:marBottom w:val="0"/>
              <w:divBdr>
                <w:top w:val="none" w:sz="0" w:space="0" w:color="auto"/>
                <w:left w:val="none" w:sz="0" w:space="0" w:color="auto"/>
                <w:bottom w:val="none" w:sz="0" w:space="0" w:color="auto"/>
                <w:right w:val="none" w:sz="0" w:space="0" w:color="auto"/>
              </w:divBdr>
            </w:div>
            <w:div w:id="2110926992">
              <w:marLeft w:val="0"/>
              <w:marRight w:val="0"/>
              <w:marTop w:val="0"/>
              <w:marBottom w:val="0"/>
              <w:divBdr>
                <w:top w:val="none" w:sz="0" w:space="0" w:color="auto"/>
                <w:left w:val="none" w:sz="0" w:space="0" w:color="auto"/>
                <w:bottom w:val="none" w:sz="0" w:space="0" w:color="auto"/>
                <w:right w:val="none" w:sz="0" w:space="0" w:color="auto"/>
              </w:divBdr>
            </w:div>
            <w:div w:id="152723133">
              <w:marLeft w:val="0"/>
              <w:marRight w:val="0"/>
              <w:marTop w:val="0"/>
              <w:marBottom w:val="0"/>
              <w:divBdr>
                <w:top w:val="none" w:sz="0" w:space="0" w:color="auto"/>
                <w:left w:val="none" w:sz="0" w:space="0" w:color="auto"/>
                <w:bottom w:val="none" w:sz="0" w:space="0" w:color="auto"/>
                <w:right w:val="none" w:sz="0" w:space="0" w:color="auto"/>
              </w:divBdr>
            </w:div>
            <w:div w:id="282082420">
              <w:marLeft w:val="0"/>
              <w:marRight w:val="0"/>
              <w:marTop w:val="0"/>
              <w:marBottom w:val="0"/>
              <w:divBdr>
                <w:top w:val="none" w:sz="0" w:space="0" w:color="auto"/>
                <w:left w:val="none" w:sz="0" w:space="0" w:color="auto"/>
                <w:bottom w:val="none" w:sz="0" w:space="0" w:color="auto"/>
                <w:right w:val="none" w:sz="0" w:space="0" w:color="auto"/>
              </w:divBdr>
            </w:div>
            <w:div w:id="1452440094">
              <w:marLeft w:val="0"/>
              <w:marRight w:val="0"/>
              <w:marTop w:val="0"/>
              <w:marBottom w:val="0"/>
              <w:divBdr>
                <w:top w:val="none" w:sz="0" w:space="0" w:color="auto"/>
                <w:left w:val="none" w:sz="0" w:space="0" w:color="auto"/>
                <w:bottom w:val="none" w:sz="0" w:space="0" w:color="auto"/>
                <w:right w:val="none" w:sz="0" w:space="0" w:color="auto"/>
              </w:divBdr>
            </w:div>
            <w:div w:id="112946051">
              <w:marLeft w:val="0"/>
              <w:marRight w:val="0"/>
              <w:marTop w:val="0"/>
              <w:marBottom w:val="0"/>
              <w:divBdr>
                <w:top w:val="none" w:sz="0" w:space="0" w:color="auto"/>
                <w:left w:val="none" w:sz="0" w:space="0" w:color="auto"/>
                <w:bottom w:val="none" w:sz="0" w:space="0" w:color="auto"/>
                <w:right w:val="none" w:sz="0" w:space="0" w:color="auto"/>
              </w:divBdr>
            </w:div>
            <w:div w:id="563956534">
              <w:marLeft w:val="0"/>
              <w:marRight w:val="0"/>
              <w:marTop w:val="0"/>
              <w:marBottom w:val="0"/>
              <w:divBdr>
                <w:top w:val="none" w:sz="0" w:space="0" w:color="auto"/>
                <w:left w:val="none" w:sz="0" w:space="0" w:color="auto"/>
                <w:bottom w:val="none" w:sz="0" w:space="0" w:color="auto"/>
                <w:right w:val="none" w:sz="0" w:space="0" w:color="auto"/>
              </w:divBdr>
            </w:div>
            <w:div w:id="1878543304">
              <w:marLeft w:val="0"/>
              <w:marRight w:val="0"/>
              <w:marTop w:val="0"/>
              <w:marBottom w:val="0"/>
              <w:divBdr>
                <w:top w:val="none" w:sz="0" w:space="0" w:color="auto"/>
                <w:left w:val="none" w:sz="0" w:space="0" w:color="auto"/>
                <w:bottom w:val="none" w:sz="0" w:space="0" w:color="auto"/>
                <w:right w:val="none" w:sz="0" w:space="0" w:color="auto"/>
              </w:divBdr>
            </w:div>
            <w:div w:id="1530802155">
              <w:marLeft w:val="0"/>
              <w:marRight w:val="0"/>
              <w:marTop w:val="0"/>
              <w:marBottom w:val="0"/>
              <w:divBdr>
                <w:top w:val="none" w:sz="0" w:space="0" w:color="auto"/>
                <w:left w:val="none" w:sz="0" w:space="0" w:color="auto"/>
                <w:bottom w:val="none" w:sz="0" w:space="0" w:color="auto"/>
                <w:right w:val="none" w:sz="0" w:space="0" w:color="auto"/>
              </w:divBdr>
            </w:div>
            <w:div w:id="1311053796">
              <w:marLeft w:val="0"/>
              <w:marRight w:val="0"/>
              <w:marTop w:val="0"/>
              <w:marBottom w:val="0"/>
              <w:divBdr>
                <w:top w:val="none" w:sz="0" w:space="0" w:color="auto"/>
                <w:left w:val="none" w:sz="0" w:space="0" w:color="auto"/>
                <w:bottom w:val="none" w:sz="0" w:space="0" w:color="auto"/>
                <w:right w:val="none" w:sz="0" w:space="0" w:color="auto"/>
              </w:divBdr>
            </w:div>
            <w:div w:id="607154701">
              <w:marLeft w:val="0"/>
              <w:marRight w:val="0"/>
              <w:marTop w:val="0"/>
              <w:marBottom w:val="0"/>
              <w:divBdr>
                <w:top w:val="none" w:sz="0" w:space="0" w:color="auto"/>
                <w:left w:val="none" w:sz="0" w:space="0" w:color="auto"/>
                <w:bottom w:val="none" w:sz="0" w:space="0" w:color="auto"/>
                <w:right w:val="none" w:sz="0" w:space="0" w:color="auto"/>
              </w:divBdr>
            </w:div>
            <w:div w:id="2108959080">
              <w:marLeft w:val="0"/>
              <w:marRight w:val="0"/>
              <w:marTop w:val="0"/>
              <w:marBottom w:val="0"/>
              <w:divBdr>
                <w:top w:val="none" w:sz="0" w:space="0" w:color="auto"/>
                <w:left w:val="none" w:sz="0" w:space="0" w:color="auto"/>
                <w:bottom w:val="none" w:sz="0" w:space="0" w:color="auto"/>
                <w:right w:val="none" w:sz="0" w:space="0" w:color="auto"/>
              </w:divBdr>
            </w:div>
            <w:div w:id="92289053">
              <w:marLeft w:val="0"/>
              <w:marRight w:val="0"/>
              <w:marTop w:val="0"/>
              <w:marBottom w:val="0"/>
              <w:divBdr>
                <w:top w:val="none" w:sz="0" w:space="0" w:color="auto"/>
                <w:left w:val="none" w:sz="0" w:space="0" w:color="auto"/>
                <w:bottom w:val="none" w:sz="0" w:space="0" w:color="auto"/>
                <w:right w:val="none" w:sz="0" w:space="0" w:color="auto"/>
              </w:divBdr>
            </w:div>
            <w:div w:id="1055206111">
              <w:marLeft w:val="0"/>
              <w:marRight w:val="0"/>
              <w:marTop w:val="0"/>
              <w:marBottom w:val="0"/>
              <w:divBdr>
                <w:top w:val="none" w:sz="0" w:space="0" w:color="auto"/>
                <w:left w:val="none" w:sz="0" w:space="0" w:color="auto"/>
                <w:bottom w:val="none" w:sz="0" w:space="0" w:color="auto"/>
                <w:right w:val="none" w:sz="0" w:space="0" w:color="auto"/>
              </w:divBdr>
            </w:div>
            <w:div w:id="934750134">
              <w:marLeft w:val="0"/>
              <w:marRight w:val="0"/>
              <w:marTop w:val="0"/>
              <w:marBottom w:val="0"/>
              <w:divBdr>
                <w:top w:val="none" w:sz="0" w:space="0" w:color="auto"/>
                <w:left w:val="none" w:sz="0" w:space="0" w:color="auto"/>
                <w:bottom w:val="none" w:sz="0" w:space="0" w:color="auto"/>
                <w:right w:val="none" w:sz="0" w:space="0" w:color="auto"/>
              </w:divBdr>
            </w:div>
            <w:div w:id="30763600">
              <w:marLeft w:val="0"/>
              <w:marRight w:val="0"/>
              <w:marTop w:val="0"/>
              <w:marBottom w:val="0"/>
              <w:divBdr>
                <w:top w:val="none" w:sz="0" w:space="0" w:color="auto"/>
                <w:left w:val="none" w:sz="0" w:space="0" w:color="auto"/>
                <w:bottom w:val="none" w:sz="0" w:space="0" w:color="auto"/>
                <w:right w:val="none" w:sz="0" w:space="0" w:color="auto"/>
              </w:divBdr>
            </w:div>
            <w:div w:id="783505450">
              <w:marLeft w:val="0"/>
              <w:marRight w:val="0"/>
              <w:marTop w:val="0"/>
              <w:marBottom w:val="0"/>
              <w:divBdr>
                <w:top w:val="none" w:sz="0" w:space="0" w:color="auto"/>
                <w:left w:val="none" w:sz="0" w:space="0" w:color="auto"/>
                <w:bottom w:val="none" w:sz="0" w:space="0" w:color="auto"/>
                <w:right w:val="none" w:sz="0" w:space="0" w:color="auto"/>
              </w:divBdr>
            </w:div>
            <w:div w:id="1816415567">
              <w:marLeft w:val="0"/>
              <w:marRight w:val="0"/>
              <w:marTop w:val="0"/>
              <w:marBottom w:val="0"/>
              <w:divBdr>
                <w:top w:val="none" w:sz="0" w:space="0" w:color="auto"/>
                <w:left w:val="none" w:sz="0" w:space="0" w:color="auto"/>
                <w:bottom w:val="none" w:sz="0" w:space="0" w:color="auto"/>
                <w:right w:val="none" w:sz="0" w:space="0" w:color="auto"/>
              </w:divBdr>
            </w:div>
            <w:div w:id="2033653381">
              <w:marLeft w:val="0"/>
              <w:marRight w:val="0"/>
              <w:marTop w:val="0"/>
              <w:marBottom w:val="0"/>
              <w:divBdr>
                <w:top w:val="none" w:sz="0" w:space="0" w:color="auto"/>
                <w:left w:val="none" w:sz="0" w:space="0" w:color="auto"/>
                <w:bottom w:val="none" w:sz="0" w:space="0" w:color="auto"/>
                <w:right w:val="none" w:sz="0" w:space="0" w:color="auto"/>
              </w:divBdr>
            </w:div>
            <w:div w:id="1943414402">
              <w:marLeft w:val="0"/>
              <w:marRight w:val="0"/>
              <w:marTop w:val="0"/>
              <w:marBottom w:val="0"/>
              <w:divBdr>
                <w:top w:val="none" w:sz="0" w:space="0" w:color="auto"/>
                <w:left w:val="none" w:sz="0" w:space="0" w:color="auto"/>
                <w:bottom w:val="none" w:sz="0" w:space="0" w:color="auto"/>
                <w:right w:val="none" w:sz="0" w:space="0" w:color="auto"/>
              </w:divBdr>
            </w:div>
            <w:div w:id="1236891987">
              <w:marLeft w:val="0"/>
              <w:marRight w:val="0"/>
              <w:marTop w:val="0"/>
              <w:marBottom w:val="0"/>
              <w:divBdr>
                <w:top w:val="none" w:sz="0" w:space="0" w:color="auto"/>
                <w:left w:val="none" w:sz="0" w:space="0" w:color="auto"/>
                <w:bottom w:val="none" w:sz="0" w:space="0" w:color="auto"/>
                <w:right w:val="none" w:sz="0" w:space="0" w:color="auto"/>
              </w:divBdr>
            </w:div>
            <w:div w:id="2142065610">
              <w:marLeft w:val="0"/>
              <w:marRight w:val="0"/>
              <w:marTop w:val="0"/>
              <w:marBottom w:val="0"/>
              <w:divBdr>
                <w:top w:val="none" w:sz="0" w:space="0" w:color="auto"/>
                <w:left w:val="none" w:sz="0" w:space="0" w:color="auto"/>
                <w:bottom w:val="none" w:sz="0" w:space="0" w:color="auto"/>
                <w:right w:val="none" w:sz="0" w:space="0" w:color="auto"/>
              </w:divBdr>
            </w:div>
            <w:div w:id="145825764">
              <w:marLeft w:val="0"/>
              <w:marRight w:val="0"/>
              <w:marTop w:val="0"/>
              <w:marBottom w:val="0"/>
              <w:divBdr>
                <w:top w:val="none" w:sz="0" w:space="0" w:color="auto"/>
                <w:left w:val="none" w:sz="0" w:space="0" w:color="auto"/>
                <w:bottom w:val="none" w:sz="0" w:space="0" w:color="auto"/>
                <w:right w:val="none" w:sz="0" w:space="0" w:color="auto"/>
              </w:divBdr>
            </w:div>
            <w:div w:id="199362036">
              <w:marLeft w:val="0"/>
              <w:marRight w:val="0"/>
              <w:marTop w:val="0"/>
              <w:marBottom w:val="0"/>
              <w:divBdr>
                <w:top w:val="none" w:sz="0" w:space="0" w:color="auto"/>
                <w:left w:val="none" w:sz="0" w:space="0" w:color="auto"/>
                <w:bottom w:val="none" w:sz="0" w:space="0" w:color="auto"/>
                <w:right w:val="none" w:sz="0" w:space="0" w:color="auto"/>
              </w:divBdr>
            </w:div>
            <w:div w:id="1899827636">
              <w:marLeft w:val="0"/>
              <w:marRight w:val="0"/>
              <w:marTop w:val="0"/>
              <w:marBottom w:val="0"/>
              <w:divBdr>
                <w:top w:val="none" w:sz="0" w:space="0" w:color="auto"/>
                <w:left w:val="none" w:sz="0" w:space="0" w:color="auto"/>
                <w:bottom w:val="none" w:sz="0" w:space="0" w:color="auto"/>
                <w:right w:val="none" w:sz="0" w:space="0" w:color="auto"/>
              </w:divBdr>
            </w:div>
            <w:div w:id="1004357206">
              <w:marLeft w:val="0"/>
              <w:marRight w:val="0"/>
              <w:marTop w:val="0"/>
              <w:marBottom w:val="0"/>
              <w:divBdr>
                <w:top w:val="none" w:sz="0" w:space="0" w:color="auto"/>
                <w:left w:val="none" w:sz="0" w:space="0" w:color="auto"/>
                <w:bottom w:val="none" w:sz="0" w:space="0" w:color="auto"/>
                <w:right w:val="none" w:sz="0" w:space="0" w:color="auto"/>
              </w:divBdr>
            </w:div>
            <w:div w:id="2128575568">
              <w:marLeft w:val="0"/>
              <w:marRight w:val="0"/>
              <w:marTop w:val="0"/>
              <w:marBottom w:val="0"/>
              <w:divBdr>
                <w:top w:val="none" w:sz="0" w:space="0" w:color="auto"/>
                <w:left w:val="none" w:sz="0" w:space="0" w:color="auto"/>
                <w:bottom w:val="none" w:sz="0" w:space="0" w:color="auto"/>
                <w:right w:val="none" w:sz="0" w:space="0" w:color="auto"/>
              </w:divBdr>
            </w:div>
            <w:div w:id="1158158587">
              <w:marLeft w:val="0"/>
              <w:marRight w:val="0"/>
              <w:marTop w:val="0"/>
              <w:marBottom w:val="0"/>
              <w:divBdr>
                <w:top w:val="none" w:sz="0" w:space="0" w:color="auto"/>
                <w:left w:val="none" w:sz="0" w:space="0" w:color="auto"/>
                <w:bottom w:val="none" w:sz="0" w:space="0" w:color="auto"/>
                <w:right w:val="none" w:sz="0" w:space="0" w:color="auto"/>
              </w:divBdr>
            </w:div>
            <w:div w:id="1908758571">
              <w:marLeft w:val="0"/>
              <w:marRight w:val="0"/>
              <w:marTop w:val="0"/>
              <w:marBottom w:val="0"/>
              <w:divBdr>
                <w:top w:val="none" w:sz="0" w:space="0" w:color="auto"/>
                <w:left w:val="none" w:sz="0" w:space="0" w:color="auto"/>
                <w:bottom w:val="none" w:sz="0" w:space="0" w:color="auto"/>
                <w:right w:val="none" w:sz="0" w:space="0" w:color="auto"/>
              </w:divBdr>
            </w:div>
            <w:div w:id="404840624">
              <w:marLeft w:val="0"/>
              <w:marRight w:val="0"/>
              <w:marTop w:val="0"/>
              <w:marBottom w:val="0"/>
              <w:divBdr>
                <w:top w:val="none" w:sz="0" w:space="0" w:color="auto"/>
                <w:left w:val="none" w:sz="0" w:space="0" w:color="auto"/>
                <w:bottom w:val="none" w:sz="0" w:space="0" w:color="auto"/>
                <w:right w:val="none" w:sz="0" w:space="0" w:color="auto"/>
              </w:divBdr>
            </w:div>
            <w:div w:id="1485470423">
              <w:marLeft w:val="0"/>
              <w:marRight w:val="0"/>
              <w:marTop w:val="0"/>
              <w:marBottom w:val="0"/>
              <w:divBdr>
                <w:top w:val="none" w:sz="0" w:space="0" w:color="auto"/>
                <w:left w:val="none" w:sz="0" w:space="0" w:color="auto"/>
                <w:bottom w:val="none" w:sz="0" w:space="0" w:color="auto"/>
                <w:right w:val="none" w:sz="0" w:space="0" w:color="auto"/>
              </w:divBdr>
            </w:div>
            <w:div w:id="1085341786">
              <w:marLeft w:val="0"/>
              <w:marRight w:val="0"/>
              <w:marTop w:val="0"/>
              <w:marBottom w:val="0"/>
              <w:divBdr>
                <w:top w:val="none" w:sz="0" w:space="0" w:color="auto"/>
                <w:left w:val="none" w:sz="0" w:space="0" w:color="auto"/>
                <w:bottom w:val="none" w:sz="0" w:space="0" w:color="auto"/>
                <w:right w:val="none" w:sz="0" w:space="0" w:color="auto"/>
              </w:divBdr>
            </w:div>
            <w:div w:id="351691358">
              <w:marLeft w:val="0"/>
              <w:marRight w:val="0"/>
              <w:marTop w:val="0"/>
              <w:marBottom w:val="0"/>
              <w:divBdr>
                <w:top w:val="none" w:sz="0" w:space="0" w:color="auto"/>
                <w:left w:val="none" w:sz="0" w:space="0" w:color="auto"/>
                <w:bottom w:val="none" w:sz="0" w:space="0" w:color="auto"/>
                <w:right w:val="none" w:sz="0" w:space="0" w:color="auto"/>
              </w:divBdr>
            </w:div>
            <w:div w:id="1206989915">
              <w:marLeft w:val="0"/>
              <w:marRight w:val="0"/>
              <w:marTop w:val="0"/>
              <w:marBottom w:val="0"/>
              <w:divBdr>
                <w:top w:val="none" w:sz="0" w:space="0" w:color="auto"/>
                <w:left w:val="none" w:sz="0" w:space="0" w:color="auto"/>
                <w:bottom w:val="none" w:sz="0" w:space="0" w:color="auto"/>
                <w:right w:val="none" w:sz="0" w:space="0" w:color="auto"/>
              </w:divBdr>
            </w:div>
            <w:div w:id="769011343">
              <w:marLeft w:val="0"/>
              <w:marRight w:val="0"/>
              <w:marTop w:val="0"/>
              <w:marBottom w:val="0"/>
              <w:divBdr>
                <w:top w:val="none" w:sz="0" w:space="0" w:color="auto"/>
                <w:left w:val="none" w:sz="0" w:space="0" w:color="auto"/>
                <w:bottom w:val="none" w:sz="0" w:space="0" w:color="auto"/>
                <w:right w:val="none" w:sz="0" w:space="0" w:color="auto"/>
              </w:divBdr>
            </w:div>
            <w:div w:id="793672064">
              <w:marLeft w:val="0"/>
              <w:marRight w:val="0"/>
              <w:marTop w:val="0"/>
              <w:marBottom w:val="0"/>
              <w:divBdr>
                <w:top w:val="none" w:sz="0" w:space="0" w:color="auto"/>
                <w:left w:val="none" w:sz="0" w:space="0" w:color="auto"/>
                <w:bottom w:val="none" w:sz="0" w:space="0" w:color="auto"/>
                <w:right w:val="none" w:sz="0" w:space="0" w:color="auto"/>
              </w:divBdr>
            </w:div>
            <w:div w:id="1333951675">
              <w:marLeft w:val="0"/>
              <w:marRight w:val="0"/>
              <w:marTop w:val="0"/>
              <w:marBottom w:val="0"/>
              <w:divBdr>
                <w:top w:val="none" w:sz="0" w:space="0" w:color="auto"/>
                <w:left w:val="none" w:sz="0" w:space="0" w:color="auto"/>
                <w:bottom w:val="none" w:sz="0" w:space="0" w:color="auto"/>
                <w:right w:val="none" w:sz="0" w:space="0" w:color="auto"/>
              </w:divBdr>
            </w:div>
            <w:div w:id="1078094975">
              <w:marLeft w:val="0"/>
              <w:marRight w:val="0"/>
              <w:marTop w:val="0"/>
              <w:marBottom w:val="0"/>
              <w:divBdr>
                <w:top w:val="none" w:sz="0" w:space="0" w:color="auto"/>
                <w:left w:val="none" w:sz="0" w:space="0" w:color="auto"/>
                <w:bottom w:val="none" w:sz="0" w:space="0" w:color="auto"/>
                <w:right w:val="none" w:sz="0" w:space="0" w:color="auto"/>
              </w:divBdr>
            </w:div>
            <w:div w:id="1842310600">
              <w:marLeft w:val="0"/>
              <w:marRight w:val="0"/>
              <w:marTop w:val="0"/>
              <w:marBottom w:val="0"/>
              <w:divBdr>
                <w:top w:val="none" w:sz="0" w:space="0" w:color="auto"/>
                <w:left w:val="none" w:sz="0" w:space="0" w:color="auto"/>
                <w:bottom w:val="none" w:sz="0" w:space="0" w:color="auto"/>
                <w:right w:val="none" w:sz="0" w:space="0" w:color="auto"/>
              </w:divBdr>
            </w:div>
            <w:div w:id="1055395811">
              <w:marLeft w:val="0"/>
              <w:marRight w:val="0"/>
              <w:marTop w:val="0"/>
              <w:marBottom w:val="0"/>
              <w:divBdr>
                <w:top w:val="none" w:sz="0" w:space="0" w:color="auto"/>
                <w:left w:val="none" w:sz="0" w:space="0" w:color="auto"/>
                <w:bottom w:val="none" w:sz="0" w:space="0" w:color="auto"/>
                <w:right w:val="none" w:sz="0" w:space="0" w:color="auto"/>
              </w:divBdr>
            </w:div>
            <w:div w:id="1998876408">
              <w:marLeft w:val="0"/>
              <w:marRight w:val="0"/>
              <w:marTop w:val="0"/>
              <w:marBottom w:val="0"/>
              <w:divBdr>
                <w:top w:val="none" w:sz="0" w:space="0" w:color="auto"/>
                <w:left w:val="none" w:sz="0" w:space="0" w:color="auto"/>
                <w:bottom w:val="none" w:sz="0" w:space="0" w:color="auto"/>
                <w:right w:val="none" w:sz="0" w:space="0" w:color="auto"/>
              </w:divBdr>
            </w:div>
            <w:div w:id="1108545339">
              <w:marLeft w:val="0"/>
              <w:marRight w:val="0"/>
              <w:marTop w:val="0"/>
              <w:marBottom w:val="0"/>
              <w:divBdr>
                <w:top w:val="none" w:sz="0" w:space="0" w:color="auto"/>
                <w:left w:val="none" w:sz="0" w:space="0" w:color="auto"/>
                <w:bottom w:val="none" w:sz="0" w:space="0" w:color="auto"/>
                <w:right w:val="none" w:sz="0" w:space="0" w:color="auto"/>
              </w:divBdr>
            </w:div>
            <w:div w:id="1670596423">
              <w:marLeft w:val="0"/>
              <w:marRight w:val="0"/>
              <w:marTop w:val="0"/>
              <w:marBottom w:val="0"/>
              <w:divBdr>
                <w:top w:val="none" w:sz="0" w:space="0" w:color="auto"/>
                <w:left w:val="none" w:sz="0" w:space="0" w:color="auto"/>
                <w:bottom w:val="none" w:sz="0" w:space="0" w:color="auto"/>
                <w:right w:val="none" w:sz="0" w:space="0" w:color="auto"/>
              </w:divBdr>
            </w:div>
            <w:div w:id="446900361">
              <w:marLeft w:val="0"/>
              <w:marRight w:val="0"/>
              <w:marTop w:val="0"/>
              <w:marBottom w:val="0"/>
              <w:divBdr>
                <w:top w:val="none" w:sz="0" w:space="0" w:color="auto"/>
                <w:left w:val="none" w:sz="0" w:space="0" w:color="auto"/>
                <w:bottom w:val="none" w:sz="0" w:space="0" w:color="auto"/>
                <w:right w:val="none" w:sz="0" w:space="0" w:color="auto"/>
              </w:divBdr>
            </w:div>
            <w:div w:id="784230318">
              <w:marLeft w:val="0"/>
              <w:marRight w:val="0"/>
              <w:marTop w:val="0"/>
              <w:marBottom w:val="0"/>
              <w:divBdr>
                <w:top w:val="none" w:sz="0" w:space="0" w:color="auto"/>
                <w:left w:val="none" w:sz="0" w:space="0" w:color="auto"/>
                <w:bottom w:val="none" w:sz="0" w:space="0" w:color="auto"/>
                <w:right w:val="none" w:sz="0" w:space="0" w:color="auto"/>
              </w:divBdr>
            </w:div>
            <w:div w:id="910693877">
              <w:marLeft w:val="0"/>
              <w:marRight w:val="0"/>
              <w:marTop w:val="0"/>
              <w:marBottom w:val="0"/>
              <w:divBdr>
                <w:top w:val="none" w:sz="0" w:space="0" w:color="auto"/>
                <w:left w:val="none" w:sz="0" w:space="0" w:color="auto"/>
                <w:bottom w:val="none" w:sz="0" w:space="0" w:color="auto"/>
                <w:right w:val="none" w:sz="0" w:space="0" w:color="auto"/>
              </w:divBdr>
            </w:div>
            <w:div w:id="1592467059">
              <w:marLeft w:val="0"/>
              <w:marRight w:val="0"/>
              <w:marTop w:val="0"/>
              <w:marBottom w:val="0"/>
              <w:divBdr>
                <w:top w:val="none" w:sz="0" w:space="0" w:color="auto"/>
                <w:left w:val="none" w:sz="0" w:space="0" w:color="auto"/>
                <w:bottom w:val="none" w:sz="0" w:space="0" w:color="auto"/>
                <w:right w:val="none" w:sz="0" w:space="0" w:color="auto"/>
              </w:divBdr>
            </w:div>
            <w:div w:id="559049936">
              <w:marLeft w:val="0"/>
              <w:marRight w:val="0"/>
              <w:marTop w:val="0"/>
              <w:marBottom w:val="0"/>
              <w:divBdr>
                <w:top w:val="none" w:sz="0" w:space="0" w:color="auto"/>
                <w:left w:val="none" w:sz="0" w:space="0" w:color="auto"/>
                <w:bottom w:val="none" w:sz="0" w:space="0" w:color="auto"/>
                <w:right w:val="none" w:sz="0" w:space="0" w:color="auto"/>
              </w:divBdr>
            </w:div>
            <w:div w:id="174615898">
              <w:marLeft w:val="0"/>
              <w:marRight w:val="0"/>
              <w:marTop w:val="0"/>
              <w:marBottom w:val="0"/>
              <w:divBdr>
                <w:top w:val="none" w:sz="0" w:space="0" w:color="auto"/>
                <w:left w:val="none" w:sz="0" w:space="0" w:color="auto"/>
                <w:bottom w:val="none" w:sz="0" w:space="0" w:color="auto"/>
                <w:right w:val="none" w:sz="0" w:space="0" w:color="auto"/>
              </w:divBdr>
            </w:div>
            <w:div w:id="1097167117">
              <w:marLeft w:val="0"/>
              <w:marRight w:val="0"/>
              <w:marTop w:val="0"/>
              <w:marBottom w:val="0"/>
              <w:divBdr>
                <w:top w:val="none" w:sz="0" w:space="0" w:color="auto"/>
                <w:left w:val="none" w:sz="0" w:space="0" w:color="auto"/>
                <w:bottom w:val="none" w:sz="0" w:space="0" w:color="auto"/>
                <w:right w:val="none" w:sz="0" w:space="0" w:color="auto"/>
              </w:divBdr>
            </w:div>
            <w:div w:id="798450365">
              <w:marLeft w:val="0"/>
              <w:marRight w:val="0"/>
              <w:marTop w:val="0"/>
              <w:marBottom w:val="0"/>
              <w:divBdr>
                <w:top w:val="none" w:sz="0" w:space="0" w:color="auto"/>
                <w:left w:val="none" w:sz="0" w:space="0" w:color="auto"/>
                <w:bottom w:val="none" w:sz="0" w:space="0" w:color="auto"/>
                <w:right w:val="none" w:sz="0" w:space="0" w:color="auto"/>
              </w:divBdr>
            </w:div>
            <w:div w:id="462189065">
              <w:marLeft w:val="0"/>
              <w:marRight w:val="0"/>
              <w:marTop w:val="0"/>
              <w:marBottom w:val="0"/>
              <w:divBdr>
                <w:top w:val="none" w:sz="0" w:space="0" w:color="auto"/>
                <w:left w:val="none" w:sz="0" w:space="0" w:color="auto"/>
                <w:bottom w:val="none" w:sz="0" w:space="0" w:color="auto"/>
                <w:right w:val="none" w:sz="0" w:space="0" w:color="auto"/>
              </w:divBdr>
            </w:div>
            <w:div w:id="1931890821">
              <w:marLeft w:val="0"/>
              <w:marRight w:val="0"/>
              <w:marTop w:val="0"/>
              <w:marBottom w:val="0"/>
              <w:divBdr>
                <w:top w:val="none" w:sz="0" w:space="0" w:color="auto"/>
                <w:left w:val="none" w:sz="0" w:space="0" w:color="auto"/>
                <w:bottom w:val="none" w:sz="0" w:space="0" w:color="auto"/>
                <w:right w:val="none" w:sz="0" w:space="0" w:color="auto"/>
              </w:divBdr>
            </w:div>
            <w:div w:id="265694370">
              <w:marLeft w:val="0"/>
              <w:marRight w:val="0"/>
              <w:marTop w:val="0"/>
              <w:marBottom w:val="0"/>
              <w:divBdr>
                <w:top w:val="none" w:sz="0" w:space="0" w:color="auto"/>
                <w:left w:val="none" w:sz="0" w:space="0" w:color="auto"/>
                <w:bottom w:val="none" w:sz="0" w:space="0" w:color="auto"/>
                <w:right w:val="none" w:sz="0" w:space="0" w:color="auto"/>
              </w:divBdr>
            </w:div>
            <w:div w:id="1552038413">
              <w:marLeft w:val="0"/>
              <w:marRight w:val="0"/>
              <w:marTop w:val="0"/>
              <w:marBottom w:val="0"/>
              <w:divBdr>
                <w:top w:val="none" w:sz="0" w:space="0" w:color="auto"/>
                <w:left w:val="none" w:sz="0" w:space="0" w:color="auto"/>
                <w:bottom w:val="none" w:sz="0" w:space="0" w:color="auto"/>
                <w:right w:val="none" w:sz="0" w:space="0" w:color="auto"/>
              </w:divBdr>
            </w:div>
            <w:div w:id="233126302">
              <w:marLeft w:val="0"/>
              <w:marRight w:val="0"/>
              <w:marTop w:val="0"/>
              <w:marBottom w:val="0"/>
              <w:divBdr>
                <w:top w:val="none" w:sz="0" w:space="0" w:color="auto"/>
                <w:left w:val="none" w:sz="0" w:space="0" w:color="auto"/>
                <w:bottom w:val="none" w:sz="0" w:space="0" w:color="auto"/>
                <w:right w:val="none" w:sz="0" w:space="0" w:color="auto"/>
              </w:divBdr>
            </w:div>
            <w:div w:id="1832286415">
              <w:marLeft w:val="0"/>
              <w:marRight w:val="0"/>
              <w:marTop w:val="0"/>
              <w:marBottom w:val="0"/>
              <w:divBdr>
                <w:top w:val="none" w:sz="0" w:space="0" w:color="auto"/>
                <w:left w:val="none" w:sz="0" w:space="0" w:color="auto"/>
                <w:bottom w:val="none" w:sz="0" w:space="0" w:color="auto"/>
                <w:right w:val="none" w:sz="0" w:space="0" w:color="auto"/>
              </w:divBdr>
            </w:div>
            <w:div w:id="1133209656">
              <w:marLeft w:val="0"/>
              <w:marRight w:val="0"/>
              <w:marTop w:val="0"/>
              <w:marBottom w:val="0"/>
              <w:divBdr>
                <w:top w:val="none" w:sz="0" w:space="0" w:color="auto"/>
                <w:left w:val="none" w:sz="0" w:space="0" w:color="auto"/>
                <w:bottom w:val="none" w:sz="0" w:space="0" w:color="auto"/>
                <w:right w:val="none" w:sz="0" w:space="0" w:color="auto"/>
              </w:divBdr>
            </w:div>
            <w:div w:id="1677686911">
              <w:marLeft w:val="0"/>
              <w:marRight w:val="0"/>
              <w:marTop w:val="0"/>
              <w:marBottom w:val="0"/>
              <w:divBdr>
                <w:top w:val="none" w:sz="0" w:space="0" w:color="auto"/>
                <w:left w:val="none" w:sz="0" w:space="0" w:color="auto"/>
                <w:bottom w:val="none" w:sz="0" w:space="0" w:color="auto"/>
                <w:right w:val="none" w:sz="0" w:space="0" w:color="auto"/>
              </w:divBdr>
            </w:div>
            <w:div w:id="1217667795">
              <w:marLeft w:val="0"/>
              <w:marRight w:val="0"/>
              <w:marTop w:val="0"/>
              <w:marBottom w:val="0"/>
              <w:divBdr>
                <w:top w:val="none" w:sz="0" w:space="0" w:color="auto"/>
                <w:left w:val="none" w:sz="0" w:space="0" w:color="auto"/>
                <w:bottom w:val="none" w:sz="0" w:space="0" w:color="auto"/>
                <w:right w:val="none" w:sz="0" w:space="0" w:color="auto"/>
              </w:divBdr>
            </w:div>
            <w:div w:id="347296686">
              <w:marLeft w:val="0"/>
              <w:marRight w:val="0"/>
              <w:marTop w:val="0"/>
              <w:marBottom w:val="0"/>
              <w:divBdr>
                <w:top w:val="none" w:sz="0" w:space="0" w:color="auto"/>
                <w:left w:val="none" w:sz="0" w:space="0" w:color="auto"/>
                <w:bottom w:val="none" w:sz="0" w:space="0" w:color="auto"/>
                <w:right w:val="none" w:sz="0" w:space="0" w:color="auto"/>
              </w:divBdr>
            </w:div>
            <w:div w:id="1492991369">
              <w:marLeft w:val="0"/>
              <w:marRight w:val="0"/>
              <w:marTop w:val="0"/>
              <w:marBottom w:val="0"/>
              <w:divBdr>
                <w:top w:val="none" w:sz="0" w:space="0" w:color="auto"/>
                <w:left w:val="none" w:sz="0" w:space="0" w:color="auto"/>
                <w:bottom w:val="none" w:sz="0" w:space="0" w:color="auto"/>
                <w:right w:val="none" w:sz="0" w:space="0" w:color="auto"/>
              </w:divBdr>
            </w:div>
            <w:div w:id="1261140537">
              <w:marLeft w:val="0"/>
              <w:marRight w:val="0"/>
              <w:marTop w:val="0"/>
              <w:marBottom w:val="0"/>
              <w:divBdr>
                <w:top w:val="none" w:sz="0" w:space="0" w:color="auto"/>
                <w:left w:val="none" w:sz="0" w:space="0" w:color="auto"/>
                <w:bottom w:val="none" w:sz="0" w:space="0" w:color="auto"/>
                <w:right w:val="none" w:sz="0" w:space="0" w:color="auto"/>
              </w:divBdr>
            </w:div>
            <w:div w:id="109252991">
              <w:marLeft w:val="0"/>
              <w:marRight w:val="0"/>
              <w:marTop w:val="0"/>
              <w:marBottom w:val="0"/>
              <w:divBdr>
                <w:top w:val="none" w:sz="0" w:space="0" w:color="auto"/>
                <w:left w:val="none" w:sz="0" w:space="0" w:color="auto"/>
                <w:bottom w:val="none" w:sz="0" w:space="0" w:color="auto"/>
                <w:right w:val="none" w:sz="0" w:space="0" w:color="auto"/>
              </w:divBdr>
            </w:div>
            <w:div w:id="801774961">
              <w:marLeft w:val="0"/>
              <w:marRight w:val="0"/>
              <w:marTop w:val="0"/>
              <w:marBottom w:val="0"/>
              <w:divBdr>
                <w:top w:val="none" w:sz="0" w:space="0" w:color="auto"/>
                <w:left w:val="none" w:sz="0" w:space="0" w:color="auto"/>
                <w:bottom w:val="none" w:sz="0" w:space="0" w:color="auto"/>
                <w:right w:val="none" w:sz="0" w:space="0" w:color="auto"/>
              </w:divBdr>
            </w:div>
            <w:div w:id="1987203955">
              <w:marLeft w:val="0"/>
              <w:marRight w:val="0"/>
              <w:marTop w:val="0"/>
              <w:marBottom w:val="0"/>
              <w:divBdr>
                <w:top w:val="none" w:sz="0" w:space="0" w:color="auto"/>
                <w:left w:val="none" w:sz="0" w:space="0" w:color="auto"/>
                <w:bottom w:val="none" w:sz="0" w:space="0" w:color="auto"/>
                <w:right w:val="none" w:sz="0" w:space="0" w:color="auto"/>
              </w:divBdr>
            </w:div>
            <w:div w:id="147484782">
              <w:marLeft w:val="0"/>
              <w:marRight w:val="0"/>
              <w:marTop w:val="0"/>
              <w:marBottom w:val="0"/>
              <w:divBdr>
                <w:top w:val="none" w:sz="0" w:space="0" w:color="auto"/>
                <w:left w:val="none" w:sz="0" w:space="0" w:color="auto"/>
                <w:bottom w:val="none" w:sz="0" w:space="0" w:color="auto"/>
                <w:right w:val="none" w:sz="0" w:space="0" w:color="auto"/>
              </w:divBdr>
            </w:div>
            <w:div w:id="1301109446">
              <w:marLeft w:val="0"/>
              <w:marRight w:val="0"/>
              <w:marTop w:val="0"/>
              <w:marBottom w:val="0"/>
              <w:divBdr>
                <w:top w:val="none" w:sz="0" w:space="0" w:color="auto"/>
                <w:left w:val="none" w:sz="0" w:space="0" w:color="auto"/>
                <w:bottom w:val="none" w:sz="0" w:space="0" w:color="auto"/>
                <w:right w:val="none" w:sz="0" w:space="0" w:color="auto"/>
              </w:divBdr>
            </w:div>
            <w:div w:id="1939480132">
              <w:marLeft w:val="0"/>
              <w:marRight w:val="0"/>
              <w:marTop w:val="0"/>
              <w:marBottom w:val="0"/>
              <w:divBdr>
                <w:top w:val="none" w:sz="0" w:space="0" w:color="auto"/>
                <w:left w:val="none" w:sz="0" w:space="0" w:color="auto"/>
                <w:bottom w:val="none" w:sz="0" w:space="0" w:color="auto"/>
                <w:right w:val="none" w:sz="0" w:space="0" w:color="auto"/>
              </w:divBdr>
            </w:div>
            <w:div w:id="752092239">
              <w:marLeft w:val="0"/>
              <w:marRight w:val="0"/>
              <w:marTop w:val="0"/>
              <w:marBottom w:val="0"/>
              <w:divBdr>
                <w:top w:val="none" w:sz="0" w:space="0" w:color="auto"/>
                <w:left w:val="none" w:sz="0" w:space="0" w:color="auto"/>
                <w:bottom w:val="none" w:sz="0" w:space="0" w:color="auto"/>
                <w:right w:val="none" w:sz="0" w:space="0" w:color="auto"/>
              </w:divBdr>
            </w:div>
            <w:div w:id="1245264018">
              <w:marLeft w:val="0"/>
              <w:marRight w:val="0"/>
              <w:marTop w:val="0"/>
              <w:marBottom w:val="0"/>
              <w:divBdr>
                <w:top w:val="none" w:sz="0" w:space="0" w:color="auto"/>
                <w:left w:val="none" w:sz="0" w:space="0" w:color="auto"/>
                <w:bottom w:val="none" w:sz="0" w:space="0" w:color="auto"/>
                <w:right w:val="none" w:sz="0" w:space="0" w:color="auto"/>
              </w:divBdr>
            </w:div>
            <w:div w:id="1575317282">
              <w:marLeft w:val="0"/>
              <w:marRight w:val="0"/>
              <w:marTop w:val="0"/>
              <w:marBottom w:val="0"/>
              <w:divBdr>
                <w:top w:val="none" w:sz="0" w:space="0" w:color="auto"/>
                <w:left w:val="none" w:sz="0" w:space="0" w:color="auto"/>
                <w:bottom w:val="none" w:sz="0" w:space="0" w:color="auto"/>
                <w:right w:val="none" w:sz="0" w:space="0" w:color="auto"/>
              </w:divBdr>
            </w:div>
            <w:div w:id="274757059">
              <w:marLeft w:val="0"/>
              <w:marRight w:val="0"/>
              <w:marTop w:val="0"/>
              <w:marBottom w:val="0"/>
              <w:divBdr>
                <w:top w:val="none" w:sz="0" w:space="0" w:color="auto"/>
                <w:left w:val="none" w:sz="0" w:space="0" w:color="auto"/>
                <w:bottom w:val="none" w:sz="0" w:space="0" w:color="auto"/>
                <w:right w:val="none" w:sz="0" w:space="0" w:color="auto"/>
              </w:divBdr>
            </w:div>
            <w:div w:id="1813405989">
              <w:marLeft w:val="0"/>
              <w:marRight w:val="0"/>
              <w:marTop w:val="0"/>
              <w:marBottom w:val="0"/>
              <w:divBdr>
                <w:top w:val="none" w:sz="0" w:space="0" w:color="auto"/>
                <w:left w:val="none" w:sz="0" w:space="0" w:color="auto"/>
                <w:bottom w:val="none" w:sz="0" w:space="0" w:color="auto"/>
                <w:right w:val="none" w:sz="0" w:space="0" w:color="auto"/>
              </w:divBdr>
            </w:div>
            <w:div w:id="1819498823">
              <w:marLeft w:val="0"/>
              <w:marRight w:val="0"/>
              <w:marTop w:val="0"/>
              <w:marBottom w:val="0"/>
              <w:divBdr>
                <w:top w:val="none" w:sz="0" w:space="0" w:color="auto"/>
                <w:left w:val="none" w:sz="0" w:space="0" w:color="auto"/>
                <w:bottom w:val="none" w:sz="0" w:space="0" w:color="auto"/>
                <w:right w:val="none" w:sz="0" w:space="0" w:color="auto"/>
              </w:divBdr>
            </w:div>
            <w:div w:id="163053832">
              <w:marLeft w:val="0"/>
              <w:marRight w:val="0"/>
              <w:marTop w:val="0"/>
              <w:marBottom w:val="0"/>
              <w:divBdr>
                <w:top w:val="none" w:sz="0" w:space="0" w:color="auto"/>
                <w:left w:val="none" w:sz="0" w:space="0" w:color="auto"/>
                <w:bottom w:val="none" w:sz="0" w:space="0" w:color="auto"/>
                <w:right w:val="none" w:sz="0" w:space="0" w:color="auto"/>
              </w:divBdr>
            </w:div>
            <w:div w:id="242376487">
              <w:marLeft w:val="0"/>
              <w:marRight w:val="0"/>
              <w:marTop w:val="0"/>
              <w:marBottom w:val="0"/>
              <w:divBdr>
                <w:top w:val="none" w:sz="0" w:space="0" w:color="auto"/>
                <w:left w:val="none" w:sz="0" w:space="0" w:color="auto"/>
                <w:bottom w:val="none" w:sz="0" w:space="0" w:color="auto"/>
                <w:right w:val="none" w:sz="0" w:space="0" w:color="auto"/>
              </w:divBdr>
            </w:div>
            <w:div w:id="1849445448">
              <w:marLeft w:val="0"/>
              <w:marRight w:val="0"/>
              <w:marTop w:val="0"/>
              <w:marBottom w:val="0"/>
              <w:divBdr>
                <w:top w:val="none" w:sz="0" w:space="0" w:color="auto"/>
                <w:left w:val="none" w:sz="0" w:space="0" w:color="auto"/>
                <w:bottom w:val="none" w:sz="0" w:space="0" w:color="auto"/>
                <w:right w:val="none" w:sz="0" w:space="0" w:color="auto"/>
              </w:divBdr>
            </w:div>
            <w:div w:id="81998825">
              <w:marLeft w:val="0"/>
              <w:marRight w:val="0"/>
              <w:marTop w:val="0"/>
              <w:marBottom w:val="0"/>
              <w:divBdr>
                <w:top w:val="none" w:sz="0" w:space="0" w:color="auto"/>
                <w:left w:val="none" w:sz="0" w:space="0" w:color="auto"/>
                <w:bottom w:val="none" w:sz="0" w:space="0" w:color="auto"/>
                <w:right w:val="none" w:sz="0" w:space="0" w:color="auto"/>
              </w:divBdr>
            </w:div>
            <w:div w:id="385304281">
              <w:marLeft w:val="0"/>
              <w:marRight w:val="0"/>
              <w:marTop w:val="0"/>
              <w:marBottom w:val="0"/>
              <w:divBdr>
                <w:top w:val="none" w:sz="0" w:space="0" w:color="auto"/>
                <w:left w:val="none" w:sz="0" w:space="0" w:color="auto"/>
                <w:bottom w:val="none" w:sz="0" w:space="0" w:color="auto"/>
                <w:right w:val="none" w:sz="0" w:space="0" w:color="auto"/>
              </w:divBdr>
            </w:div>
            <w:div w:id="122584649">
              <w:marLeft w:val="0"/>
              <w:marRight w:val="0"/>
              <w:marTop w:val="0"/>
              <w:marBottom w:val="0"/>
              <w:divBdr>
                <w:top w:val="none" w:sz="0" w:space="0" w:color="auto"/>
                <w:left w:val="none" w:sz="0" w:space="0" w:color="auto"/>
                <w:bottom w:val="none" w:sz="0" w:space="0" w:color="auto"/>
                <w:right w:val="none" w:sz="0" w:space="0" w:color="auto"/>
              </w:divBdr>
            </w:div>
            <w:div w:id="1943688533">
              <w:marLeft w:val="0"/>
              <w:marRight w:val="0"/>
              <w:marTop w:val="0"/>
              <w:marBottom w:val="0"/>
              <w:divBdr>
                <w:top w:val="none" w:sz="0" w:space="0" w:color="auto"/>
                <w:left w:val="none" w:sz="0" w:space="0" w:color="auto"/>
                <w:bottom w:val="none" w:sz="0" w:space="0" w:color="auto"/>
                <w:right w:val="none" w:sz="0" w:space="0" w:color="auto"/>
              </w:divBdr>
            </w:div>
            <w:div w:id="1138499047">
              <w:marLeft w:val="0"/>
              <w:marRight w:val="0"/>
              <w:marTop w:val="0"/>
              <w:marBottom w:val="0"/>
              <w:divBdr>
                <w:top w:val="none" w:sz="0" w:space="0" w:color="auto"/>
                <w:left w:val="none" w:sz="0" w:space="0" w:color="auto"/>
                <w:bottom w:val="none" w:sz="0" w:space="0" w:color="auto"/>
                <w:right w:val="none" w:sz="0" w:space="0" w:color="auto"/>
              </w:divBdr>
            </w:div>
            <w:div w:id="1230070073">
              <w:marLeft w:val="0"/>
              <w:marRight w:val="0"/>
              <w:marTop w:val="0"/>
              <w:marBottom w:val="0"/>
              <w:divBdr>
                <w:top w:val="none" w:sz="0" w:space="0" w:color="auto"/>
                <w:left w:val="none" w:sz="0" w:space="0" w:color="auto"/>
                <w:bottom w:val="none" w:sz="0" w:space="0" w:color="auto"/>
                <w:right w:val="none" w:sz="0" w:space="0" w:color="auto"/>
              </w:divBdr>
            </w:div>
            <w:div w:id="2092699978">
              <w:marLeft w:val="0"/>
              <w:marRight w:val="0"/>
              <w:marTop w:val="0"/>
              <w:marBottom w:val="0"/>
              <w:divBdr>
                <w:top w:val="none" w:sz="0" w:space="0" w:color="auto"/>
                <w:left w:val="none" w:sz="0" w:space="0" w:color="auto"/>
                <w:bottom w:val="none" w:sz="0" w:space="0" w:color="auto"/>
                <w:right w:val="none" w:sz="0" w:space="0" w:color="auto"/>
              </w:divBdr>
            </w:div>
            <w:div w:id="1404258874">
              <w:marLeft w:val="0"/>
              <w:marRight w:val="0"/>
              <w:marTop w:val="0"/>
              <w:marBottom w:val="0"/>
              <w:divBdr>
                <w:top w:val="none" w:sz="0" w:space="0" w:color="auto"/>
                <w:left w:val="none" w:sz="0" w:space="0" w:color="auto"/>
                <w:bottom w:val="none" w:sz="0" w:space="0" w:color="auto"/>
                <w:right w:val="none" w:sz="0" w:space="0" w:color="auto"/>
              </w:divBdr>
            </w:div>
            <w:div w:id="570577090">
              <w:marLeft w:val="0"/>
              <w:marRight w:val="0"/>
              <w:marTop w:val="0"/>
              <w:marBottom w:val="0"/>
              <w:divBdr>
                <w:top w:val="none" w:sz="0" w:space="0" w:color="auto"/>
                <w:left w:val="none" w:sz="0" w:space="0" w:color="auto"/>
                <w:bottom w:val="none" w:sz="0" w:space="0" w:color="auto"/>
                <w:right w:val="none" w:sz="0" w:space="0" w:color="auto"/>
              </w:divBdr>
            </w:div>
            <w:div w:id="1354190459">
              <w:marLeft w:val="0"/>
              <w:marRight w:val="0"/>
              <w:marTop w:val="0"/>
              <w:marBottom w:val="0"/>
              <w:divBdr>
                <w:top w:val="none" w:sz="0" w:space="0" w:color="auto"/>
                <w:left w:val="none" w:sz="0" w:space="0" w:color="auto"/>
                <w:bottom w:val="none" w:sz="0" w:space="0" w:color="auto"/>
                <w:right w:val="none" w:sz="0" w:space="0" w:color="auto"/>
              </w:divBdr>
            </w:div>
            <w:div w:id="1639340671">
              <w:marLeft w:val="0"/>
              <w:marRight w:val="0"/>
              <w:marTop w:val="0"/>
              <w:marBottom w:val="0"/>
              <w:divBdr>
                <w:top w:val="none" w:sz="0" w:space="0" w:color="auto"/>
                <w:left w:val="none" w:sz="0" w:space="0" w:color="auto"/>
                <w:bottom w:val="none" w:sz="0" w:space="0" w:color="auto"/>
                <w:right w:val="none" w:sz="0" w:space="0" w:color="auto"/>
              </w:divBdr>
            </w:div>
            <w:div w:id="1619023835">
              <w:marLeft w:val="0"/>
              <w:marRight w:val="0"/>
              <w:marTop w:val="0"/>
              <w:marBottom w:val="0"/>
              <w:divBdr>
                <w:top w:val="none" w:sz="0" w:space="0" w:color="auto"/>
                <w:left w:val="none" w:sz="0" w:space="0" w:color="auto"/>
                <w:bottom w:val="none" w:sz="0" w:space="0" w:color="auto"/>
                <w:right w:val="none" w:sz="0" w:space="0" w:color="auto"/>
              </w:divBdr>
            </w:div>
            <w:div w:id="479735473">
              <w:marLeft w:val="0"/>
              <w:marRight w:val="0"/>
              <w:marTop w:val="0"/>
              <w:marBottom w:val="0"/>
              <w:divBdr>
                <w:top w:val="none" w:sz="0" w:space="0" w:color="auto"/>
                <w:left w:val="none" w:sz="0" w:space="0" w:color="auto"/>
                <w:bottom w:val="none" w:sz="0" w:space="0" w:color="auto"/>
                <w:right w:val="none" w:sz="0" w:space="0" w:color="auto"/>
              </w:divBdr>
            </w:div>
            <w:div w:id="1695420345">
              <w:marLeft w:val="0"/>
              <w:marRight w:val="0"/>
              <w:marTop w:val="0"/>
              <w:marBottom w:val="0"/>
              <w:divBdr>
                <w:top w:val="none" w:sz="0" w:space="0" w:color="auto"/>
                <w:left w:val="none" w:sz="0" w:space="0" w:color="auto"/>
                <w:bottom w:val="none" w:sz="0" w:space="0" w:color="auto"/>
                <w:right w:val="none" w:sz="0" w:space="0" w:color="auto"/>
              </w:divBdr>
            </w:div>
            <w:div w:id="1134560053">
              <w:marLeft w:val="0"/>
              <w:marRight w:val="0"/>
              <w:marTop w:val="0"/>
              <w:marBottom w:val="0"/>
              <w:divBdr>
                <w:top w:val="none" w:sz="0" w:space="0" w:color="auto"/>
                <w:left w:val="none" w:sz="0" w:space="0" w:color="auto"/>
                <w:bottom w:val="none" w:sz="0" w:space="0" w:color="auto"/>
                <w:right w:val="none" w:sz="0" w:space="0" w:color="auto"/>
              </w:divBdr>
            </w:div>
            <w:div w:id="272054155">
              <w:marLeft w:val="0"/>
              <w:marRight w:val="0"/>
              <w:marTop w:val="0"/>
              <w:marBottom w:val="0"/>
              <w:divBdr>
                <w:top w:val="none" w:sz="0" w:space="0" w:color="auto"/>
                <w:left w:val="none" w:sz="0" w:space="0" w:color="auto"/>
                <w:bottom w:val="none" w:sz="0" w:space="0" w:color="auto"/>
                <w:right w:val="none" w:sz="0" w:space="0" w:color="auto"/>
              </w:divBdr>
            </w:div>
            <w:div w:id="2044355624">
              <w:marLeft w:val="0"/>
              <w:marRight w:val="0"/>
              <w:marTop w:val="0"/>
              <w:marBottom w:val="0"/>
              <w:divBdr>
                <w:top w:val="none" w:sz="0" w:space="0" w:color="auto"/>
                <w:left w:val="none" w:sz="0" w:space="0" w:color="auto"/>
                <w:bottom w:val="none" w:sz="0" w:space="0" w:color="auto"/>
                <w:right w:val="none" w:sz="0" w:space="0" w:color="auto"/>
              </w:divBdr>
            </w:div>
            <w:div w:id="1965646940">
              <w:marLeft w:val="0"/>
              <w:marRight w:val="0"/>
              <w:marTop w:val="0"/>
              <w:marBottom w:val="0"/>
              <w:divBdr>
                <w:top w:val="none" w:sz="0" w:space="0" w:color="auto"/>
                <w:left w:val="none" w:sz="0" w:space="0" w:color="auto"/>
                <w:bottom w:val="none" w:sz="0" w:space="0" w:color="auto"/>
                <w:right w:val="none" w:sz="0" w:space="0" w:color="auto"/>
              </w:divBdr>
            </w:div>
            <w:div w:id="1004474464">
              <w:marLeft w:val="0"/>
              <w:marRight w:val="0"/>
              <w:marTop w:val="0"/>
              <w:marBottom w:val="0"/>
              <w:divBdr>
                <w:top w:val="none" w:sz="0" w:space="0" w:color="auto"/>
                <w:left w:val="none" w:sz="0" w:space="0" w:color="auto"/>
                <w:bottom w:val="none" w:sz="0" w:space="0" w:color="auto"/>
                <w:right w:val="none" w:sz="0" w:space="0" w:color="auto"/>
              </w:divBdr>
            </w:div>
            <w:div w:id="1158115666">
              <w:marLeft w:val="0"/>
              <w:marRight w:val="0"/>
              <w:marTop w:val="0"/>
              <w:marBottom w:val="0"/>
              <w:divBdr>
                <w:top w:val="none" w:sz="0" w:space="0" w:color="auto"/>
                <w:left w:val="none" w:sz="0" w:space="0" w:color="auto"/>
                <w:bottom w:val="none" w:sz="0" w:space="0" w:color="auto"/>
                <w:right w:val="none" w:sz="0" w:space="0" w:color="auto"/>
              </w:divBdr>
            </w:div>
            <w:div w:id="166529668">
              <w:marLeft w:val="0"/>
              <w:marRight w:val="0"/>
              <w:marTop w:val="0"/>
              <w:marBottom w:val="0"/>
              <w:divBdr>
                <w:top w:val="none" w:sz="0" w:space="0" w:color="auto"/>
                <w:left w:val="none" w:sz="0" w:space="0" w:color="auto"/>
                <w:bottom w:val="none" w:sz="0" w:space="0" w:color="auto"/>
                <w:right w:val="none" w:sz="0" w:space="0" w:color="auto"/>
              </w:divBdr>
            </w:div>
            <w:div w:id="19547545">
              <w:marLeft w:val="0"/>
              <w:marRight w:val="0"/>
              <w:marTop w:val="0"/>
              <w:marBottom w:val="0"/>
              <w:divBdr>
                <w:top w:val="none" w:sz="0" w:space="0" w:color="auto"/>
                <w:left w:val="none" w:sz="0" w:space="0" w:color="auto"/>
                <w:bottom w:val="none" w:sz="0" w:space="0" w:color="auto"/>
                <w:right w:val="none" w:sz="0" w:space="0" w:color="auto"/>
              </w:divBdr>
            </w:div>
            <w:div w:id="293827828">
              <w:marLeft w:val="0"/>
              <w:marRight w:val="0"/>
              <w:marTop w:val="0"/>
              <w:marBottom w:val="0"/>
              <w:divBdr>
                <w:top w:val="none" w:sz="0" w:space="0" w:color="auto"/>
                <w:left w:val="none" w:sz="0" w:space="0" w:color="auto"/>
                <w:bottom w:val="none" w:sz="0" w:space="0" w:color="auto"/>
                <w:right w:val="none" w:sz="0" w:space="0" w:color="auto"/>
              </w:divBdr>
            </w:div>
            <w:div w:id="1895501540">
              <w:marLeft w:val="0"/>
              <w:marRight w:val="0"/>
              <w:marTop w:val="0"/>
              <w:marBottom w:val="0"/>
              <w:divBdr>
                <w:top w:val="none" w:sz="0" w:space="0" w:color="auto"/>
                <w:left w:val="none" w:sz="0" w:space="0" w:color="auto"/>
                <w:bottom w:val="none" w:sz="0" w:space="0" w:color="auto"/>
                <w:right w:val="none" w:sz="0" w:space="0" w:color="auto"/>
              </w:divBdr>
            </w:div>
            <w:div w:id="1182281693">
              <w:marLeft w:val="0"/>
              <w:marRight w:val="0"/>
              <w:marTop w:val="0"/>
              <w:marBottom w:val="0"/>
              <w:divBdr>
                <w:top w:val="none" w:sz="0" w:space="0" w:color="auto"/>
                <w:left w:val="none" w:sz="0" w:space="0" w:color="auto"/>
                <w:bottom w:val="none" w:sz="0" w:space="0" w:color="auto"/>
                <w:right w:val="none" w:sz="0" w:space="0" w:color="auto"/>
              </w:divBdr>
            </w:div>
            <w:div w:id="1505120752">
              <w:marLeft w:val="0"/>
              <w:marRight w:val="0"/>
              <w:marTop w:val="0"/>
              <w:marBottom w:val="0"/>
              <w:divBdr>
                <w:top w:val="none" w:sz="0" w:space="0" w:color="auto"/>
                <w:left w:val="none" w:sz="0" w:space="0" w:color="auto"/>
                <w:bottom w:val="none" w:sz="0" w:space="0" w:color="auto"/>
                <w:right w:val="none" w:sz="0" w:space="0" w:color="auto"/>
              </w:divBdr>
            </w:div>
            <w:div w:id="2009482258">
              <w:marLeft w:val="0"/>
              <w:marRight w:val="0"/>
              <w:marTop w:val="0"/>
              <w:marBottom w:val="0"/>
              <w:divBdr>
                <w:top w:val="none" w:sz="0" w:space="0" w:color="auto"/>
                <w:left w:val="none" w:sz="0" w:space="0" w:color="auto"/>
                <w:bottom w:val="none" w:sz="0" w:space="0" w:color="auto"/>
                <w:right w:val="none" w:sz="0" w:space="0" w:color="auto"/>
              </w:divBdr>
            </w:div>
            <w:div w:id="373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HTML/?uri=CELEX:52020XC1022(01)&amp;from=EN"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CS/TXT/HTML/?uri=CELEX:52020XC1022(01)&amp;from=E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ur-lex.europa.eu/legal-content/CS/TXT/HTML/?uri=CELEX:52020XC1022(01)&amp;from=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AA8F-E7BE-4701-8A11-A942DC17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5442</Words>
  <Characters>32108</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Nedvědická Jana</dc:creator>
  <cp:keywords/>
  <dc:description/>
  <cp:lastModifiedBy>Nedvědická Jana</cp:lastModifiedBy>
  <cp:revision>6</cp:revision>
  <dcterms:created xsi:type="dcterms:W3CDTF">2024-06-06T07:15:00Z</dcterms:created>
  <dcterms:modified xsi:type="dcterms:W3CDTF">2024-06-07T09:21:00Z</dcterms:modified>
</cp:coreProperties>
</file>