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7F" w:rsidRPr="0067587F" w:rsidRDefault="0067587F" w:rsidP="0067587F">
      <w:pPr>
        <w:rPr>
          <w:b/>
        </w:rPr>
      </w:pPr>
      <w:r w:rsidRPr="0067587F">
        <w:rPr>
          <w:b/>
        </w:rPr>
        <w:t>Metodick</w:t>
      </w:r>
      <w:r w:rsidR="007201A9">
        <w:rPr>
          <w:b/>
        </w:rPr>
        <w:t xml:space="preserve">é stanovisko </w:t>
      </w:r>
      <w:r>
        <w:rPr>
          <w:b/>
        </w:rPr>
        <w:t>-</w:t>
      </w:r>
      <w:r w:rsidRPr="0067587F">
        <w:rPr>
          <w:b/>
        </w:rPr>
        <w:t xml:space="preserve"> zda se na veřejnou zakázku vztahuje GPA</w:t>
      </w:r>
    </w:p>
    <w:p w:rsidR="007201A9" w:rsidRDefault="0067587F" w:rsidP="005A5B98">
      <w:pPr>
        <w:jc w:val="both"/>
      </w:pPr>
      <w:r>
        <w:t>Dohoda o veřejných zakázkách (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– GPA)</w:t>
      </w:r>
      <w:r>
        <w:rPr>
          <w:rStyle w:val="Znakapoznpodarou"/>
        </w:rPr>
        <w:footnoteReference w:id="1"/>
      </w:r>
      <w:r>
        <w:t xml:space="preserve"> je vícestranná</w:t>
      </w:r>
      <w:r w:rsidR="007201A9">
        <w:t xml:space="preserve"> </w:t>
      </w:r>
      <w:r>
        <w:t>mezinárodní dohoda uzavřená mezi některými členskými státy (případně jejich uskupen</w:t>
      </w:r>
      <w:r w:rsidR="007201A9">
        <w:t xml:space="preserve">ími – </w:t>
      </w:r>
      <w:r>
        <w:t xml:space="preserve">Evropská společenství) Světové obchodní organizace. </w:t>
      </w:r>
    </w:p>
    <w:p w:rsidR="0067587F" w:rsidRDefault="0067587F" w:rsidP="005A5B98">
      <w:pPr>
        <w:jc w:val="both"/>
      </w:pPr>
      <w:r>
        <w:t xml:space="preserve">Od 1. května 2004 se rozšířil počet států, na které se GPA </w:t>
      </w:r>
      <w:r w:rsidR="007201A9">
        <w:t xml:space="preserve">vztahuje, o 10 nových členských </w:t>
      </w:r>
      <w:r>
        <w:t>států ES, tedy i o Českou republiku. Počet států, na které se G</w:t>
      </w:r>
      <w:r w:rsidR="007201A9">
        <w:t>PA vztahuje, je v současné době 48</w:t>
      </w:r>
      <w:r>
        <w:t>.</w:t>
      </w:r>
    </w:p>
    <w:p w:rsidR="0067587F" w:rsidRDefault="0067587F" w:rsidP="005A5B98">
      <w:pPr>
        <w:jc w:val="both"/>
      </w:pPr>
      <w:r>
        <w:t>GPA upravuje základní principy a základní práva a povinnost</w:t>
      </w:r>
      <w:r w:rsidR="007201A9">
        <w:t xml:space="preserve">i, které je nutné dodržovat při </w:t>
      </w:r>
      <w:r>
        <w:t>zadávání veřejných zakázek na území smluvních stran GPA</w:t>
      </w:r>
      <w:r w:rsidR="007201A9">
        <w:t xml:space="preserve">. Hlavním mottem celé dohody je </w:t>
      </w:r>
      <w:r>
        <w:t>nediskriminace. Smluvní strany jsou zavázány zajis</w:t>
      </w:r>
      <w:r w:rsidR="007201A9">
        <w:t xml:space="preserve">tit rovné zacházení dodavatelům </w:t>
      </w:r>
      <w:r>
        <w:t>z ostatních smluvních stran GPA jako poskytují dodavatelům</w:t>
      </w:r>
      <w:r w:rsidR="007201A9">
        <w:t xml:space="preserve"> domácím a nečinit rozdíly mezi </w:t>
      </w:r>
      <w:r>
        <w:t>dodavateli z jednotlivých smluvních stran GPA. Zároveň s</w:t>
      </w:r>
      <w:r w:rsidR="007201A9">
        <w:t xml:space="preserve">e strany zavazují, že se jejich </w:t>
      </w:r>
      <w:r>
        <w:t>zadavatelé budou chovat stejným způsobem k místním d</w:t>
      </w:r>
      <w:r w:rsidR="007201A9">
        <w:t xml:space="preserve">odavatelům bez ohledu na druh a </w:t>
      </w:r>
      <w:r>
        <w:t>stupeň jejich provázanosti na zahraniční subjekt (nap</w:t>
      </w:r>
      <w:r w:rsidR="007201A9">
        <w:t xml:space="preserve">ř. majetkový podíl zahraničního </w:t>
      </w:r>
      <w:r>
        <w:t>subjektu, organizační složka zahraničního subjektu). Dohoda dále klade důraz na zakotve</w:t>
      </w:r>
      <w:r w:rsidR="007201A9">
        <w:t xml:space="preserve">ní </w:t>
      </w:r>
      <w:r>
        <w:t>principu transparentnosti v národní legislativě upravující oblast veřejných zakázek.</w:t>
      </w:r>
    </w:p>
    <w:p w:rsidR="0067587F" w:rsidRDefault="0067587F" w:rsidP="005A5B98">
      <w:pPr>
        <w:jc w:val="both"/>
      </w:pPr>
      <w:r>
        <w:t>V České republice upravuje zadáván</w:t>
      </w:r>
      <w:r w:rsidR="007201A9">
        <w:t>í veřejných zakázek zákon č. 134/201</w:t>
      </w:r>
      <w:r>
        <w:t>6 Sb., o</w:t>
      </w:r>
      <w:r w:rsidR="007201A9">
        <w:t xml:space="preserve"> zadávání</w:t>
      </w:r>
      <w:r w:rsidR="003241F7">
        <w:t xml:space="preserve"> veřejných </w:t>
      </w:r>
      <w:r w:rsidR="007201A9">
        <w:t>zakázek</w:t>
      </w:r>
      <w:r>
        <w:t>, ve znění pozdějších předpisů (dále jen „zákon“). Zákon zaručuje v so</w:t>
      </w:r>
      <w:r w:rsidR="003241F7">
        <w:t xml:space="preserve">učasné době </w:t>
      </w:r>
      <w:r>
        <w:t>rovné zacházení všem dodavatelům bez ohledu na to, zda stát, v</w:t>
      </w:r>
      <w:r w:rsidR="003241F7">
        <w:t xml:space="preserve">e kterém mají sídlo, je či není </w:t>
      </w:r>
      <w:r>
        <w:t>smluvní stranou GPA. ČR v zákoně žádným způsobe</w:t>
      </w:r>
      <w:r w:rsidR="003241F7">
        <w:t xml:space="preserve">m neomezila přístup na svůj trh </w:t>
      </w:r>
      <w:r>
        <w:t>s veřejnými zakázkami, přestože jí to směrnice ES umožňovaly. Čeští zad</w:t>
      </w:r>
      <w:r w:rsidR="003241F7">
        <w:t xml:space="preserve">avatelé tedy nesmí </w:t>
      </w:r>
      <w:r>
        <w:t>diskriminovat žádného dodavatele, natož aby mohli upředn</w:t>
      </w:r>
      <w:r w:rsidR="003241F7">
        <w:t xml:space="preserve">ostňovat domácí dodavatele před </w:t>
      </w:r>
      <w:r>
        <w:t>dodavateli z jiných států, a nemohou se tudíž nikdy dostat d</w:t>
      </w:r>
      <w:r w:rsidR="003241F7">
        <w:t xml:space="preserve">o rozporu s GPA, pokud se budou </w:t>
      </w:r>
      <w:r>
        <w:t>řídit zákonem.</w:t>
      </w:r>
    </w:p>
    <w:p w:rsidR="0067587F" w:rsidRDefault="0067587F" w:rsidP="005A5B98">
      <w:pPr>
        <w:jc w:val="both"/>
      </w:pPr>
      <w:r>
        <w:t>Ustanovení GPA byla převzata do zadávacích směrnic ES.</w:t>
      </w:r>
      <w:r w:rsidR="003241F7">
        <w:t xml:space="preserve"> V některých případech jsou ale </w:t>
      </w:r>
      <w:r>
        <w:t>směrnice přísnější než GPA. Základní instituty jsou ste</w:t>
      </w:r>
      <w:r w:rsidR="003241F7">
        <w:t xml:space="preserve">jné jak v GPA, tak v zadávacích </w:t>
      </w:r>
      <w:r>
        <w:t>směrnicích ES a v českém zákoně. Na druhou s</w:t>
      </w:r>
      <w:r w:rsidR="003241F7">
        <w:t xml:space="preserve">tranu jsou zde určité především </w:t>
      </w:r>
      <w:r>
        <w:t>terminologické rozdíly, např. GPA rozlišuje pouze dodávky</w:t>
      </w:r>
      <w:r w:rsidR="003241F7">
        <w:t xml:space="preserve"> a služby a v rámci služeb tzv. </w:t>
      </w:r>
      <w:r>
        <w:t>stavební služby. GPA dále vzhledem k povaze smluvních stran používá pro v</w:t>
      </w:r>
      <w:r w:rsidR="003241F7">
        <w:t xml:space="preserve">yjádření </w:t>
      </w:r>
      <w:r>
        <w:t>finančních limitů jednotku Mezinárodního měnového fondu</w:t>
      </w:r>
      <w:r w:rsidR="003241F7">
        <w:t xml:space="preserve"> SDR a finanční limity GPA jsou </w:t>
      </w:r>
      <w:r>
        <w:t>vyšší. GPA nez</w:t>
      </w:r>
      <w:r w:rsidR="001210B2">
        <w:t>ná zadavatele dle ustanovení § 4 odst. 2 zákona</w:t>
      </w:r>
      <w:r>
        <w:t>.</w:t>
      </w:r>
    </w:p>
    <w:p w:rsidR="0067587F" w:rsidRDefault="0067587F" w:rsidP="005A5B98">
      <w:pPr>
        <w:jc w:val="both"/>
      </w:pPr>
      <w:r>
        <w:t>Pokud se zadávací řízení řídí příslušnými směrnicemi</w:t>
      </w:r>
      <w:r w:rsidR="003241F7">
        <w:t xml:space="preserve"> ES nebo národní úpravou, která </w:t>
      </w:r>
      <w:r>
        <w:t>transponuje zadávací směrnice (zákonem), je toto řízení b</w:t>
      </w:r>
      <w:r w:rsidR="003241F7">
        <w:t xml:space="preserve">ez dalšího v souladu s pravidly </w:t>
      </w:r>
      <w:r>
        <w:t>GPA. Každá budoucí změna GPA by se musela odrazit ve znění zadávacích směrnic ES.</w:t>
      </w:r>
    </w:p>
    <w:p w:rsidR="0067587F" w:rsidRDefault="0067587F" w:rsidP="005A5B98">
      <w:pPr>
        <w:jc w:val="both"/>
      </w:pPr>
      <w:r>
        <w:t>K určení, zda se na zadání konkrétní veřejné zakázky vz</w:t>
      </w:r>
      <w:r w:rsidR="003241F7">
        <w:t xml:space="preserve">tahuje GPA, vede celkem složitý </w:t>
      </w:r>
      <w:r>
        <w:t>proces. Podmínky, za nichž se na konkrétní veřejnou zakázku vztahuje GPA a které musí být</w:t>
      </w:r>
      <w:r w:rsidR="00E95BC0">
        <w:t xml:space="preserve"> </w:t>
      </w:r>
      <w:r>
        <w:t>splněny kumulativně, lze popsat následujícím způsobem:</w:t>
      </w:r>
    </w:p>
    <w:p w:rsidR="0067587F" w:rsidRDefault="0067587F" w:rsidP="005A5B98">
      <w:pPr>
        <w:jc w:val="both"/>
      </w:pPr>
      <w:r>
        <w:t>1. zadavatel je uveden v jednom ze seznamů uvedených v příloze GPA č. 1 (</w:t>
      </w:r>
      <w:proofErr w:type="spellStart"/>
      <w:r>
        <w:t>Appendix</w:t>
      </w:r>
      <w:proofErr w:type="spellEnd"/>
      <w:r w:rsidR="00A17011">
        <w:t xml:space="preserve"> </w:t>
      </w:r>
      <w:r>
        <w:t>1):</w:t>
      </w:r>
    </w:p>
    <w:p w:rsidR="0067587F" w:rsidRDefault="0067587F" w:rsidP="002D5C64">
      <w:pPr>
        <w:spacing w:after="0" w:line="240" w:lineRule="auto"/>
      </w:pPr>
      <w:r>
        <w:t>- část 1. (</w:t>
      </w:r>
      <w:proofErr w:type="spellStart"/>
      <w:r>
        <w:t>annex</w:t>
      </w:r>
      <w:proofErr w:type="spellEnd"/>
      <w:r>
        <w:t xml:space="preserve"> 1) obsahuje seznam zadavatelů na úrovni ústřední státní správy</w:t>
      </w:r>
    </w:p>
    <w:p w:rsidR="0067587F" w:rsidRDefault="0067587F" w:rsidP="002D5C64">
      <w:pPr>
        <w:spacing w:after="0" w:line="240" w:lineRule="auto"/>
      </w:pPr>
      <w:r>
        <w:t>- část 2. (</w:t>
      </w:r>
      <w:proofErr w:type="spellStart"/>
      <w:r>
        <w:t>annex</w:t>
      </w:r>
      <w:proofErr w:type="spellEnd"/>
      <w:r>
        <w:t xml:space="preserve"> 2) seznam zadavatelů na ú</w:t>
      </w:r>
      <w:r w:rsidR="001210B2">
        <w:t>rovni územní samosprávy (viz § 4 odst. 1</w:t>
      </w:r>
      <w:r>
        <w:t xml:space="preserve"> písm.</w:t>
      </w:r>
    </w:p>
    <w:p w:rsidR="0067587F" w:rsidRDefault="001210B2" w:rsidP="002D5C64">
      <w:pPr>
        <w:spacing w:after="0" w:line="240" w:lineRule="auto"/>
      </w:pPr>
      <w:r>
        <w:lastRenderedPageBreak/>
        <w:t xml:space="preserve">d) </w:t>
      </w:r>
      <w:r w:rsidR="0067587F">
        <w:t>zákona) včetně tzv. veřejnoprávních subjektů („</w:t>
      </w:r>
      <w:proofErr w:type="spellStart"/>
      <w:r w:rsidR="0067587F">
        <w:t>bodies</w:t>
      </w:r>
      <w:proofErr w:type="spellEnd"/>
      <w:r w:rsidR="0067587F">
        <w:t xml:space="preserve"> </w:t>
      </w:r>
      <w:proofErr w:type="spellStart"/>
      <w:r w:rsidR="0067587F">
        <w:t>governed</w:t>
      </w:r>
      <w:proofErr w:type="spellEnd"/>
      <w:r w:rsidR="0067587F">
        <w:t xml:space="preserve"> by public </w:t>
      </w:r>
      <w:proofErr w:type="spellStart"/>
      <w:r w:rsidR="0067587F">
        <w:t>law</w:t>
      </w:r>
      <w:proofErr w:type="spellEnd"/>
      <w:r w:rsidR="0067587F">
        <w:t>“ – viz</w:t>
      </w:r>
    </w:p>
    <w:p w:rsidR="0067587F" w:rsidRDefault="001210B2" w:rsidP="002D5C64">
      <w:pPr>
        <w:spacing w:after="0" w:line="240" w:lineRule="auto"/>
      </w:pPr>
      <w:r>
        <w:t>§ 4</w:t>
      </w:r>
      <w:r w:rsidR="0067587F">
        <w:t xml:space="preserve"> odst</w:t>
      </w:r>
      <w:r>
        <w:t>. 1 písm. e</w:t>
      </w:r>
      <w:r w:rsidR="0067587F">
        <w:t>) zákona)</w:t>
      </w:r>
    </w:p>
    <w:p w:rsidR="0067587F" w:rsidRDefault="0067587F" w:rsidP="002D5C64">
      <w:pPr>
        <w:spacing w:after="0" w:line="240" w:lineRule="auto"/>
      </w:pPr>
      <w:r>
        <w:t>- část 3. (</w:t>
      </w:r>
      <w:proofErr w:type="spellStart"/>
      <w:r>
        <w:t>annex</w:t>
      </w:r>
      <w:proofErr w:type="spellEnd"/>
      <w:r>
        <w:t xml:space="preserve"> 3) obsahuje seznam zadavatelů z t</w:t>
      </w:r>
      <w:r w:rsidR="001210B2">
        <w:t>zv. sektorových odvětví (viz § 4 odst. 3</w:t>
      </w:r>
    </w:p>
    <w:p w:rsidR="0067587F" w:rsidRDefault="0067587F" w:rsidP="002D5C64">
      <w:pPr>
        <w:spacing w:after="0" w:line="240" w:lineRule="auto"/>
      </w:pPr>
      <w:r>
        <w:t>zákona);</w:t>
      </w:r>
    </w:p>
    <w:p w:rsidR="0067587F" w:rsidRDefault="0067587F" w:rsidP="002D5C64">
      <w:pPr>
        <w:spacing w:after="0" w:line="240" w:lineRule="auto"/>
      </w:pPr>
      <w:r>
        <w:t>Seznamy obsahují demonstrativní výčet subjektů, na něž se vztahují ustanovení GPA.</w:t>
      </w:r>
    </w:p>
    <w:p w:rsidR="0067587F" w:rsidRDefault="0067587F" w:rsidP="002D5C64">
      <w:pPr>
        <w:spacing w:after="0" w:line="240" w:lineRule="auto"/>
      </w:pPr>
      <w:r>
        <w:t>Seznamy jsou neúplné, protože vzhledem k povaze smluvních stran by nebylo možné udržet</w:t>
      </w:r>
    </w:p>
    <w:p w:rsidR="0067587F" w:rsidRDefault="0067587F" w:rsidP="002D5C64">
      <w:pPr>
        <w:spacing w:after="0" w:line="240" w:lineRule="auto"/>
      </w:pPr>
      <w:r>
        <w:t>jejich aktualizovanou podobu. Obsahují tedy kombinaci definic a demonstrativních výčtů</w:t>
      </w:r>
    </w:p>
    <w:p w:rsidR="0067587F" w:rsidRDefault="0067587F" w:rsidP="002D5C64">
      <w:pPr>
        <w:spacing w:after="0" w:line="240" w:lineRule="auto"/>
      </w:pPr>
      <w:r>
        <w:t>jednotlivých subjektů, na které se vztahuje GPA. Snahou smluvních stran GPA je, aby</w:t>
      </w:r>
    </w:p>
    <w:p w:rsidR="0067587F" w:rsidRDefault="0067587F" w:rsidP="002D5C64">
      <w:pPr>
        <w:spacing w:after="0" w:line="240" w:lineRule="auto"/>
      </w:pPr>
      <w:r>
        <w:t>seznamy byly co nejúplnější.</w:t>
      </w:r>
    </w:p>
    <w:p w:rsidR="0067587F" w:rsidRDefault="0067587F" w:rsidP="002D5C64">
      <w:pPr>
        <w:spacing w:after="0" w:line="240" w:lineRule="auto"/>
      </w:pPr>
      <w:r>
        <w:t>2. jedná se o veřejnou zakázku na dodávky nebo o veřejnou zakázku na služby uvedenou</w:t>
      </w:r>
    </w:p>
    <w:p w:rsidR="0067587F" w:rsidRDefault="0067587F" w:rsidP="002D5C64">
      <w:pPr>
        <w:spacing w:after="0" w:line="240" w:lineRule="auto"/>
      </w:pPr>
      <w:r>
        <w:t>v část</w:t>
      </w:r>
      <w:r w:rsidR="002D5C64">
        <w:t>i</w:t>
      </w:r>
      <w:r>
        <w:t xml:space="preserve"> 4.</w:t>
      </w:r>
      <w:r w:rsidR="007201A9">
        <w:t xml:space="preserve"> a 5.</w:t>
      </w:r>
      <w:r>
        <w:t xml:space="preserve"> (pozitivní a negativní výčet služeb) nebo o veřejnou zakázku na stavební</w:t>
      </w:r>
    </w:p>
    <w:p w:rsidR="0067587F" w:rsidRDefault="007201A9" w:rsidP="002D5C64">
      <w:pPr>
        <w:spacing w:after="0" w:line="240" w:lineRule="auto"/>
      </w:pPr>
      <w:r>
        <w:t>práce uvedenou v části 6</w:t>
      </w:r>
      <w:r w:rsidR="0067587F">
        <w:t>.;</w:t>
      </w:r>
    </w:p>
    <w:p w:rsidR="0067587F" w:rsidRDefault="0067587F" w:rsidP="002D5C64">
      <w:pPr>
        <w:spacing w:after="0" w:line="240" w:lineRule="auto"/>
      </w:pPr>
      <w:r>
        <w:t>3. zakázka přesahuje finanční limit, který je stanoven Nařízením Komise (ES)</w:t>
      </w:r>
    </w:p>
    <w:p w:rsidR="0067587F" w:rsidRDefault="0067587F" w:rsidP="002D5C64">
      <w:pPr>
        <w:spacing w:after="0" w:line="240" w:lineRule="auto"/>
      </w:pPr>
      <w:r>
        <w:t>4. veřejná zakázka vyhovuje podmínkám obsaženým v tzv. General Notes</w:t>
      </w:r>
    </w:p>
    <w:p w:rsidR="001210B2" w:rsidRDefault="001210B2" w:rsidP="002D5C64"/>
    <w:p w:rsidR="007201A9" w:rsidRDefault="0067587F" w:rsidP="002D5C64">
      <w:bookmarkStart w:id="0" w:name="_GoBack"/>
      <w:bookmarkEnd w:id="0"/>
      <w:r>
        <w:t xml:space="preserve">General Notes obsahují výjimky pro použití částí 1 až 5 z </w:t>
      </w:r>
      <w:r w:rsidR="003241F7">
        <w:t xml:space="preserve">jiných než ekonomických důvodu, </w:t>
      </w:r>
      <w:r>
        <w:t>např. z důvodu ochrany státních bezpečnostních zájm</w:t>
      </w:r>
      <w:r w:rsidR="003241F7">
        <w:t xml:space="preserve">ů, veřejného pořádku, životního </w:t>
      </w:r>
      <w:r>
        <w:t>prostředí</w:t>
      </w:r>
      <w:r w:rsidR="000034B9">
        <w:t xml:space="preserve"> </w:t>
      </w:r>
      <w:r>
        <w:t>nebo duševního vlastnictví. Jedná se o výjimky, které uplatňuje konkrétní smluvní</w:t>
      </w:r>
      <w:r w:rsidR="007201A9">
        <w:t xml:space="preserve"> strana vůči všem ostatním smluvním stranám nebo jen vůči jedné </w:t>
      </w:r>
      <w:r w:rsidR="003241F7">
        <w:t xml:space="preserve">či několika smluvním </w:t>
      </w:r>
      <w:r w:rsidR="007201A9">
        <w:t>stranám.</w:t>
      </w:r>
    </w:p>
    <w:p w:rsidR="007201A9" w:rsidRDefault="007201A9" w:rsidP="005A5B98">
      <w:pPr>
        <w:jc w:val="both"/>
      </w:pPr>
      <w:r>
        <w:t xml:space="preserve">Smluvní strany GPA jsou povinny oznámit jakékoliv </w:t>
      </w:r>
      <w:r w:rsidR="003241F7">
        <w:t xml:space="preserve">změny ve svých seznamech. Změna </w:t>
      </w:r>
      <w:r>
        <w:t>musí být oznámena ostatním smluvním stranám způ</w:t>
      </w:r>
      <w:r w:rsidR="003241F7">
        <w:t xml:space="preserve">sobem, který nepřipouští pochyb </w:t>
      </w:r>
      <w:r>
        <w:t>(většinou notifikací Výboru pro veřejné zakázky).</w:t>
      </w:r>
    </w:p>
    <w:p w:rsidR="007201A9" w:rsidRPr="007201A9" w:rsidRDefault="007201A9" w:rsidP="005A5B98">
      <w:pPr>
        <w:jc w:val="both"/>
        <w:rPr>
          <w:b/>
        </w:rPr>
      </w:pPr>
      <w:r w:rsidRPr="007201A9">
        <w:rPr>
          <w:b/>
        </w:rPr>
        <w:t>Shrnutí:</w:t>
      </w:r>
    </w:p>
    <w:p w:rsidR="007201A9" w:rsidRPr="007201A9" w:rsidRDefault="007201A9" w:rsidP="005A5B98">
      <w:pPr>
        <w:jc w:val="both"/>
        <w:rPr>
          <w:b/>
        </w:rPr>
      </w:pPr>
      <w:r w:rsidRPr="007201A9">
        <w:rPr>
          <w:b/>
        </w:rPr>
        <w:t>Ustanovení GPA se vztahují na zadání určité veřejné</w:t>
      </w:r>
      <w:r>
        <w:rPr>
          <w:b/>
        </w:rPr>
        <w:t xml:space="preserve"> zakázky, pokud zakázka splňuje </w:t>
      </w:r>
      <w:r w:rsidRPr="007201A9">
        <w:rPr>
          <w:b/>
        </w:rPr>
        <w:t>výše uvedené podmínky. Velmi zjednodušeně lze říci, že se musí jednat o</w:t>
      </w:r>
      <w:r>
        <w:rPr>
          <w:b/>
        </w:rPr>
        <w:t xml:space="preserve"> vybranou nadlimitní </w:t>
      </w:r>
      <w:r w:rsidRPr="007201A9">
        <w:rPr>
          <w:b/>
        </w:rPr>
        <w:t xml:space="preserve">veřejnou zakázku na dodávky, služby </w:t>
      </w:r>
      <w:r>
        <w:rPr>
          <w:b/>
        </w:rPr>
        <w:t xml:space="preserve">nebo na stavební </w:t>
      </w:r>
      <w:r w:rsidRPr="007201A9">
        <w:rPr>
          <w:b/>
        </w:rPr>
        <w:t>práce, kterou zadává veřejný nebo sektorový zadavate</w:t>
      </w:r>
      <w:r>
        <w:rPr>
          <w:b/>
        </w:rPr>
        <w:t xml:space="preserve">l. Toto zjednodušené vysvětlení </w:t>
      </w:r>
      <w:r w:rsidRPr="007201A9">
        <w:rPr>
          <w:b/>
        </w:rPr>
        <w:t>lze v ČR používat pouze díky tomu, že trh s veřejnými</w:t>
      </w:r>
      <w:r>
        <w:rPr>
          <w:b/>
        </w:rPr>
        <w:t xml:space="preserve"> zakázkami je v ČR otevřen všem </w:t>
      </w:r>
      <w:r w:rsidRPr="007201A9">
        <w:rPr>
          <w:b/>
        </w:rPr>
        <w:t>dodavatelům se sídlem v jakémkoli státu. Zadavatel, kt</w:t>
      </w:r>
      <w:r>
        <w:rPr>
          <w:b/>
        </w:rPr>
        <w:t xml:space="preserve">erý dodržuje ustanovení zákona, </w:t>
      </w:r>
      <w:r w:rsidRPr="007201A9">
        <w:rPr>
          <w:b/>
        </w:rPr>
        <w:t>se nemůže dostat do rozporu s GPA, protože zákon ho z</w:t>
      </w:r>
      <w:r>
        <w:rPr>
          <w:b/>
        </w:rPr>
        <w:t xml:space="preserve">avazuje poskytovat stejná práva </w:t>
      </w:r>
      <w:r w:rsidRPr="007201A9">
        <w:rPr>
          <w:b/>
        </w:rPr>
        <w:t>a povinnosti jako domácím dodavatelům jakémukoli jin</w:t>
      </w:r>
      <w:r>
        <w:rPr>
          <w:b/>
        </w:rPr>
        <w:t xml:space="preserve">ém dodavateli, nejen dodavateli </w:t>
      </w:r>
      <w:r w:rsidRPr="007201A9">
        <w:rPr>
          <w:b/>
        </w:rPr>
        <w:t>z ostatních smluvních stran GPA.</w:t>
      </w:r>
    </w:p>
    <w:p w:rsidR="00F25C1F" w:rsidRPr="007201A9" w:rsidRDefault="00F25C1F" w:rsidP="005A5B98">
      <w:pPr>
        <w:jc w:val="both"/>
        <w:rPr>
          <w:b/>
        </w:rPr>
      </w:pPr>
    </w:p>
    <w:sectPr w:rsidR="00F25C1F" w:rsidRPr="0072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54" w:rsidRDefault="00191B54" w:rsidP="0067587F">
      <w:pPr>
        <w:spacing w:after="0" w:line="240" w:lineRule="auto"/>
      </w:pPr>
      <w:r>
        <w:separator/>
      </w:r>
    </w:p>
  </w:endnote>
  <w:endnote w:type="continuationSeparator" w:id="0">
    <w:p w:rsidR="00191B54" w:rsidRDefault="00191B54" w:rsidP="0067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54" w:rsidRDefault="00191B54" w:rsidP="0067587F">
      <w:pPr>
        <w:spacing w:after="0" w:line="240" w:lineRule="auto"/>
      </w:pPr>
      <w:r>
        <w:separator/>
      </w:r>
    </w:p>
  </w:footnote>
  <w:footnote w:type="continuationSeparator" w:id="0">
    <w:p w:rsidR="00191B54" w:rsidRDefault="00191B54" w:rsidP="0067587F">
      <w:pPr>
        <w:spacing w:after="0" w:line="240" w:lineRule="auto"/>
      </w:pPr>
      <w:r>
        <w:continuationSeparator/>
      </w:r>
    </w:p>
  </w:footnote>
  <w:footnote w:id="1">
    <w:p w:rsidR="0067587F" w:rsidRDefault="0067587F" w:rsidP="0067587F">
      <w:r>
        <w:rPr>
          <w:rStyle w:val="Znakapoznpodarou"/>
        </w:rPr>
        <w:footnoteRef/>
      </w:r>
      <w:r>
        <w:t xml:space="preserve"> Lze se setkat i s překladem Dohoda o vládních zakázkách, ale MMR se přiklání k překladu Dohoda o veřejných zakázkách stejně jako česká jazyková verze Úředního věstníku EU (viz např. nařízení Komise (ES) č. 1874/2004 ze dne 28. října 2004, kterým se mění směrnice Evropského parlamentu a Rady 2004/17/ES a 2004/18/ES ohledně prahových hodnot používaných při postupech zadávání veřejných zakázek).</w:t>
      </w:r>
    </w:p>
    <w:p w:rsidR="0067587F" w:rsidRDefault="0067587F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7F"/>
    <w:rsid w:val="000034B9"/>
    <w:rsid w:val="001210B2"/>
    <w:rsid w:val="00191B54"/>
    <w:rsid w:val="002D5C64"/>
    <w:rsid w:val="003241F7"/>
    <w:rsid w:val="00533784"/>
    <w:rsid w:val="005A5B98"/>
    <w:rsid w:val="005D63C7"/>
    <w:rsid w:val="0067587F"/>
    <w:rsid w:val="007201A9"/>
    <w:rsid w:val="00A17011"/>
    <w:rsid w:val="00AE4E0B"/>
    <w:rsid w:val="00E95BC0"/>
    <w:rsid w:val="00F2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A01F"/>
  <w15:chartTrackingRefBased/>
  <w15:docId w15:val="{9AE543D0-8F53-4758-B740-B387A8ED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58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58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5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5278-2D89-4051-AFF3-B6390AA8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Nedvědická Jana</dc:creator>
  <cp:keywords/>
  <dc:description/>
  <cp:lastModifiedBy>Nedvědická Jana</cp:lastModifiedBy>
  <cp:revision>9</cp:revision>
  <dcterms:created xsi:type="dcterms:W3CDTF">2024-01-04T11:44:00Z</dcterms:created>
  <dcterms:modified xsi:type="dcterms:W3CDTF">2024-01-05T11:45:00Z</dcterms:modified>
</cp:coreProperties>
</file>